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633146" w14:textId="77777777" w:rsidR="008776CF" w:rsidRDefault="008776CF"/>
    <w:p w14:paraId="320B6B69" w14:textId="77777777" w:rsidR="008776CF" w:rsidRDefault="008776CF"/>
    <w:tbl>
      <w:tblPr>
        <w:tblStyle w:val="Mkatabulky"/>
        <w:tblW w:w="9639" w:type="dxa"/>
        <w:tblInd w:w="-5" w:type="dxa"/>
        <w:tblBorders>
          <w:left w:val="none" w:sz="0" w:space="0" w:color="auto"/>
          <w:bottom w:val="single" w:sz="18"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8776CF" w:rsidRPr="00253338" w14:paraId="36FED294" w14:textId="77777777" w:rsidTr="00AF7EA3">
        <w:trPr>
          <w:trHeight w:val="370"/>
        </w:trPr>
        <w:tc>
          <w:tcPr>
            <w:tcW w:w="9639" w:type="dxa"/>
            <w:tcBorders>
              <w:top w:val="single" w:sz="4" w:space="0" w:color="161A48"/>
              <w:bottom w:val="single" w:sz="18" w:space="0" w:color="161A48"/>
            </w:tcBorders>
          </w:tcPr>
          <w:p w14:paraId="6F8E0911" w14:textId="67A7EA5B" w:rsidR="008776CF" w:rsidRPr="00253338" w:rsidRDefault="008776CF" w:rsidP="00AF7EA3">
            <w:pPr>
              <w:pStyle w:val="tvar"/>
              <w:spacing w:before="120" w:after="120"/>
              <w:ind w:left="-109"/>
              <w:rPr>
                <w:szCs w:val="28"/>
              </w:rPr>
            </w:pPr>
            <w:r w:rsidRPr="00253338">
              <w:rPr>
                <w:szCs w:val="28"/>
              </w:rPr>
              <w:t>Rada pro výzkum, vývoj a inovace</w:t>
            </w:r>
          </w:p>
        </w:tc>
      </w:tr>
    </w:tbl>
    <w:p w14:paraId="0FC64E1F" w14:textId="77777777" w:rsidR="008776CF" w:rsidRDefault="008776CF" w:rsidP="00D65CC8">
      <w:pPr>
        <w:spacing w:after="144" w:line="360" w:lineRule="auto"/>
        <w:jc w:val="center"/>
        <w:rPr>
          <w:rFonts w:asciiTheme="minorHAnsi" w:hAnsiTheme="minorHAnsi" w:cstheme="minorHAnsi"/>
          <w:b/>
          <w:color w:val="0070C0"/>
          <w:sz w:val="28"/>
          <w:szCs w:val="28"/>
        </w:rPr>
      </w:pPr>
    </w:p>
    <w:p w14:paraId="09978E61" w14:textId="3E52D41E" w:rsidR="00D65CC8" w:rsidRPr="00C24D02" w:rsidRDefault="00D65CC8" w:rsidP="00D65CC8">
      <w:pPr>
        <w:spacing w:after="144" w:line="360" w:lineRule="auto"/>
        <w:jc w:val="center"/>
        <w:rPr>
          <w:rFonts w:asciiTheme="minorHAnsi" w:hAnsiTheme="minorHAnsi" w:cstheme="minorHAnsi"/>
          <w:b/>
          <w:color w:val="0070C0"/>
          <w:sz w:val="28"/>
          <w:szCs w:val="28"/>
        </w:rPr>
      </w:pPr>
      <w:r w:rsidRPr="00C24D02">
        <w:rPr>
          <w:rFonts w:asciiTheme="minorHAnsi" w:hAnsiTheme="minorHAnsi" w:cstheme="minorHAnsi"/>
          <w:b/>
          <w:color w:val="0070C0"/>
          <w:sz w:val="28"/>
          <w:szCs w:val="28"/>
        </w:rPr>
        <w:t>Tematizované vypořádání námitek výzkumných organizací k hodnocení v</w:t>
      </w:r>
      <w:r w:rsidR="008776CF">
        <w:rPr>
          <w:rFonts w:asciiTheme="minorHAnsi" w:hAnsiTheme="minorHAnsi" w:cstheme="minorHAnsi"/>
          <w:b/>
          <w:color w:val="0070C0"/>
          <w:sz w:val="28"/>
          <w:szCs w:val="28"/>
        </w:rPr>
        <w:t> </w:t>
      </w:r>
      <w:r w:rsidRPr="00C24D02">
        <w:rPr>
          <w:rFonts w:asciiTheme="minorHAnsi" w:hAnsiTheme="minorHAnsi" w:cstheme="minorHAnsi"/>
          <w:b/>
          <w:color w:val="0070C0"/>
          <w:sz w:val="28"/>
          <w:szCs w:val="28"/>
        </w:rPr>
        <w:t>Modulu 1</w:t>
      </w:r>
      <w:r w:rsidR="00ED2A78" w:rsidRPr="00C24D02">
        <w:rPr>
          <w:rFonts w:asciiTheme="minorHAnsi" w:hAnsiTheme="minorHAnsi" w:cstheme="minorHAnsi"/>
          <w:b/>
          <w:color w:val="0070C0"/>
          <w:sz w:val="28"/>
          <w:szCs w:val="28"/>
        </w:rPr>
        <w:t xml:space="preserve"> a 2</w:t>
      </w:r>
      <w:r w:rsidRPr="00C24D02">
        <w:rPr>
          <w:rFonts w:asciiTheme="minorHAnsi" w:hAnsiTheme="minorHAnsi" w:cstheme="minorHAnsi"/>
          <w:b/>
          <w:color w:val="0070C0"/>
          <w:sz w:val="28"/>
          <w:szCs w:val="28"/>
        </w:rPr>
        <w:t xml:space="preserve"> při H24</w:t>
      </w:r>
    </w:p>
    <w:p w14:paraId="163DE60C" w14:textId="77777777" w:rsidR="00D65CC8" w:rsidRPr="00C24D02" w:rsidRDefault="00D65CC8" w:rsidP="00D65CC8">
      <w:pPr>
        <w:spacing w:before="40" w:after="144" w:line="360" w:lineRule="auto"/>
        <w:jc w:val="both"/>
        <w:rPr>
          <w:rFonts w:asciiTheme="minorHAnsi" w:hAnsiTheme="minorHAnsi" w:cstheme="minorHAnsi"/>
          <w:sz w:val="22"/>
          <w:szCs w:val="22"/>
        </w:rPr>
      </w:pPr>
    </w:p>
    <w:p w14:paraId="5FAF26C9" w14:textId="77777777" w:rsidR="00D65CC8" w:rsidRPr="00C24D02" w:rsidRDefault="00D65CC8" w:rsidP="00D65CC8">
      <w:pPr>
        <w:spacing w:before="40" w:after="144" w:line="360" w:lineRule="auto"/>
        <w:jc w:val="both"/>
        <w:rPr>
          <w:rFonts w:asciiTheme="minorHAnsi" w:hAnsiTheme="minorHAnsi" w:cstheme="minorHAnsi"/>
          <w:sz w:val="22"/>
          <w:szCs w:val="22"/>
        </w:rPr>
      </w:pPr>
      <w:r w:rsidRPr="00C24D02">
        <w:rPr>
          <w:rFonts w:asciiTheme="minorHAnsi" w:hAnsiTheme="minorHAnsi" w:cstheme="minorHAnsi"/>
          <w:sz w:val="22"/>
          <w:szCs w:val="22"/>
        </w:rPr>
        <w:t>Námitky jsou pro zvýšení přehlednosti dokumentu typizovány:</w:t>
      </w:r>
    </w:p>
    <w:sdt>
      <w:sdtPr>
        <w:rPr>
          <w:rFonts w:asciiTheme="minorHAnsi" w:eastAsia="Times New Roman" w:hAnsiTheme="minorHAnsi" w:cstheme="minorHAnsi"/>
          <w:color w:val="auto"/>
          <w:sz w:val="22"/>
          <w:szCs w:val="22"/>
        </w:rPr>
        <w:id w:val="-1289122064"/>
        <w:docPartObj>
          <w:docPartGallery w:val="Table of Contents"/>
          <w:docPartUnique/>
        </w:docPartObj>
      </w:sdtPr>
      <w:sdtEndPr/>
      <w:sdtContent>
        <w:p w14:paraId="5D6FD159" w14:textId="77777777" w:rsidR="00D65CC8" w:rsidRPr="00C24D02" w:rsidRDefault="00D65CC8" w:rsidP="00D65CC8">
          <w:pPr>
            <w:pStyle w:val="Nadpisobsahu"/>
            <w:spacing w:after="144" w:line="360" w:lineRule="auto"/>
            <w:rPr>
              <w:rFonts w:asciiTheme="minorHAnsi" w:hAnsiTheme="minorHAnsi" w:cstheme="minorHAnsi"/>
              <w:sz w:val="22"/>
              <w:szCs w:val="22"/>
            </w:rPr>
          </w:pPr>
          <w:r w:rsidRPr="00C24D02">
            <w:rPr>
              <w:rFonts w:asciiTheme="minorHAnsi" w:hAnsiTheme="minorHAnsi" w:cstheme="minorHAnsi"/>
              <w:sz w:val="22"/>
              <w:szCs w:val="22"/>
            </w:rPr>
            <w:t>Obsah</w:t>
          </w:r>
        </w:p>
        <w:p w14:paraId="29BCA2C7" w14:textId="11C61FF4" w:rsidR="00D054AE" w:rsidRDefault="00D65CC8">
          <w:pPr>
            <w:pStyle w:val="Obsah1"/>
            <w:tabs>
              <w:tab w:val="left" w:pos="480"/>
              <w:tab w:val="right" w:leader="dot" w:pos="9062"/>
            </w:tabs>
            <w:rPr>
              <w:rFonts w:eastAsiaTheme="minorEastAsia"/>
              <w:noProof/>
              <w:kern w:val="2"/>
              <w:sz w:val="24"/>
              <w:szCs w:val="24"/>
              <w:lang w:eastAsia="cs-CZ"/>
              <w14:ligatures w14:val="standardContextual"/>
            </w:rPr>
          </w:pPr>
          <w:r w:rsidRPr="00C24D02">
            <w:rPr>
              <w:rFonts w:cstheme="minorHAnsi"/>
            </w:rPr>
            <w:fldChar w:fldCharType="begin"/>
          </w:r>
          <w:r w:rsidRPr="00C24D02">
            <w:rPr>
              <w:rStyle w:val="Odkaznarejstk"/>
              <w:rFonts w:cstheme="minorHAnsi"/>
              <w:webHidden/>
            </w:rPr>
            <w:instrText xml:space="preserve"> TOC \z \o "1-3" \u \h</w:instrText>
          </w:r>
          <w:r w:rsidRPr="00C24D02">
            <w:rPr>
              <w:rStyle w:val="Odkaznarejstk"/>
            </w:rPr>
            <w:fldChar w:fldCharType="separate"/>
          </w:r>
          <w:hyperlink w:anchor="_Toc221799813" w:history="1">
            <w:r w:rsidR="00D054AE" w:rsidRPr="000D2557">
              <w:rPr>
                <w:rStyle w:val="Hypertextovodkaz"/>
                <w:rFonts w:cstheme="minorHAnsi"/>
                <w:noProof/>
              </w:rPr>
              <w:t>1.</w:t>
            </w:r>
            <w:r w:rsidR="00D054AE">
              <w:rPr>
                <w:rFonts w:eastAsiaTheme="minorEastAsia"/>
                <w:noProof/>
                <w:kern w:val="2"/>
                <w:sz w:val="24"/>
                <w:szCs w:val="24"/>
                <w:lang w:eastAsia="cs-CZ"/>
                <w14:ligatures w14:val="standardContextual"/>
              </w:rPr>
              <w:tab/>
            </w:r>
            <w:r w:rsidR="00D054AE" w:rsidRPr="000D2557">
              <w:rPr>
                <w:rStyle w:val="Hypertextovodkaz"/>
                <w:rFonts w:cstheme="minorHAnsi"/>
                <w:noProof/>
              </w:rPr>
              <w:t>Úvod</w:t>
            </w:r>
            <w:r w:rsidR="00D054AE">
              <w:rPr>
                <w:noProof/>
                <w:webHidden/>
              </w:rPr>
              <w:tab/>
            </w:r>
            <w:r w:rsidR="00D054AE">
              <w:rPr>
                <w:noProof/>
                <w:webHidden/>
              </w:rPr>
              <w:fldChar w:fldCharType="begin"/>
            </w:r>
            <w:r w:rsidR="00D054AE">
              <w:rPr>
                <w:noProof/>
                <w:webHidden/>
              </w:rPr>
              <w:instrText xml:space="preserve"> PAGEREF _Toc221799813 \h </w:instrText>
            </w:r>
            <w:r w:rsidR="00D054AE">
              <w:rPr>
                <w:noProof/>
                <w:webHidden/>
              </w:rPr>
            </w:r>
            <w:r w:rsidR="00D054AE">
              <w:rPr>
                <w:noProof/>
                <w:webHidden/>
              </w:rPr>
              <w:fldChar w:fldCharType="separate"/>
            </w:r>
            <w:r w:rsidR="005A49A1">
              <w:rPr>
                <w:noProof/>
                <w:webHidden/>
              </w:rPr>
              <w:t>2</w:t>
            </w:r>
            <w:r w:rsidR="00D054AE">
              <w:rPr>
                <w:noProof/>
                <w:webHidden/>
              </w:rPr>
              <w:fldChar w:fldCharType="end"/>
            </w:r>
          </w:hyperlink>
        </w:p>
        <w:p w14:paraId="44BD7739" w14:textId="14F1B77C" w:rsidR="00D054AE" w:rsidRDefault="00D054AE">
          <w:pPr>
            <w:pStyle w:val="Obsah1"/>
            <w:tabs>
              <w:tab w:val="left" w:pos="480"/>
              <w:tab w:val="right" w:leader="dot" w:pos="9062"/>
            </w:tabs>
            <w:rPr>
              <w:rFonts w:eastAsiaTheme="minorEastAsia"/>
              <w:noProof/>
              <w:kern w:val="2"/>
              <w:sz w:val="24"/>
              <w:szCs w:val="24"/>
              <w:lang w:eastAsia="cs-CZ"/>
              <w14:ligatures w14:val="standardContextual"/>
            </w:rPr>
          </w:pPr>
          <w:hyperlink w:anchor="_Toc221799814" w:history="1">
            <w:r w:rsidRPr="000D2557">
              <w:rPr>
                <w:rStyle w:val="Hypertextovodkaz"/>
                <w:rFonts w:cstheme="minorHAnsi"/>
                <w:noProof/>
              </w:rPr>
              <w:t>2.</w:t>
            </w:r>
            <w:r>
              <w:rPr>
                <w:rFonts w:eastAsiaTheme="minorEastAsia"/>
                <w:noProof/>
                <w:kern w:val="2"/>
                <w:sz w:val="24"/>
                <w:szCs w:val="24"/>
                <w:lang w:eastAsia="cs-CZ"/>
                <w14:ligatures w14:val="standardContextual"/>
              </w:rPr>
              <w:tab/>
            </w:r>
            <w:r w:rsidRPr="000D2557">
              <w:rPr>
                <w:rStyle w:val="Hypertextovodkaz"/>
                <w:rFonts w:cstheme="minorHAnsi"/>
                <w:noProof/>
              </w:rPr>
              <w:t>Opakované podání výsledku</w:t>
            </w:r>
            <w:r>
              <w:rPr>
                <w:noProof/>
                <w:webHidden/>
              </w:rPr>
              <w:tab/>
            </w:r>
            <w:r>
              <w:rPr>
                <w:noProof/>
                <w:webHidden/>
              </w:rPr>
              <w:fldChar w:fldCharType="begin"/>
            </w:r>
            <w:r>
              <w:rPr>
                <w:noProof/>
                <w:webHidden/>
              </w:rPr>
              <w:instrText xml:space="preserve"> PAGEREF _Toc221799814 \h </w:instrText>
            </w:r>
            <w:r>
              <w:rPr>
                <w:noProof/>
                <w:webHidden/>
              </w:rPr>
            </w:r>
            <w:r>
              <w:rPr>
                <w:noProof/>
                <w:webHidden/>
              </w:rPr>
              <w:fldChar w:fldCharType="separate"/>
            </w:r>
            <w:r w:rsidR="005A49A1">
              <w:rPr>
                <w:noProof/>
                <w:webHidden/>
              </w:rPr>
              <w:t>5</w:t>
            </w:r>
            <w:r>
              <w:rPr>
                <w:noProof/>
                <w:webHidden/>
              </w:rPr>
              <w:fldChar w:fldCharType="end"/>
            </w:r>
          </w:hyperlink>
        </w:p>
        <w:p w14:paraId="339391C3" w14:textId="79CD234C" w:rsidR="00D054AE" w:rsidRDefault="00D054AE">
          <w:pPr>
            <w:pStyle w:val="Obsah1"/>
            <w:tabs>
              <w:tab w:val="left" w:pos="480"/>
              <w:tab w:val="right" w:leader="dot" w:pos="9062"/>
            </w:tabs>
            <w:rPr>
              <w:rFonts w:eastAsiaTheme="minorEastAsia"/>
              <w:noProof/>
              <w:kern w:val="2"/>
              <w:sz w:val="24"/>
              <w:szCs w:val="24"/>
              <w:lang w:eastAsia="cs-CZ"/>
              <w14:ligatures w14:val="standardContextual"/>
            </w:rPr>
          </w:pPr>
          <w:hyperlink w:anchor="_Toc221799815" w:history="1">
            <w:r w:rsidRPr="000D2557">
              <w:rPr>
                <w:rStyle w:val="Hypertextovodkaz"/>
                <w:rFonts w:cstheme="minorHAnsi"/>
                <w:noProof/>
              </w:rPr>
              <w:t>3.</w:t>
            </w:r>
            <w:r>
              <w:rPr>
                <w:rFonts w:eastAsiaTheme="minorEastAsia"/>
                <w:noProof/>
                <w:kern w:val="2"/>
                <w:sz w:val="24"/>
                <w:szCs w:val="24"/>
                <w:lang w:eastAsia="cs-CZ"/>
                <w14:ligatures w14:val="standardContextual"/>
              </w:rPr>
              <w:tab/>
            </w:r>
            <w:r w:rsidRPr="000D2557">
              <w:rPr>
                <w:rStyle w:val="Hypertextovodkaz"/>
                <w:rFonts w:cstheme="minorHAnsi"/>
                <w:noProof/>
              </w:rPr>
              <w:t>Problematika (ne)dostatečných podílů</w:t>
            </w:r>
            <w:r>
              <w:rPr>
                <w:noProof/>
                <w:webHidden/>
              </w:rPr>
              <w:tab/>
            </w:r>
            <w:r>
              <w:rPr>
                <w:noProof/>
                <w:webHidden/>
              </w:rPr>
              <w:fldChar w:fldCharType="begin"/>
            </w:r>
            <w:r>
              <w:rPr>
                <w:noProof/>
                <w:webHidden/>
              </w:rPr>
              <w:instrText xml:space="preserve"> PAGEREF _Toc221799815 \h </w:instrText>
            </w:r>
            <w:r>
              <w:rPr>
                <w:noProof/>
                <w:webHidden/>
              </w:rPr>
            </w:r>
            <w:r>
              <w:rPr>
                <w:noProof/>
                <w:webHidden/>
              </w:rPr>
              <w:fldChar w:fldCharType="separate"/>
            </w:r>
            <w:r w:rsidR="005A49A1">
              <w:rPr>
                <w:noProof/>
                <w:webHidden/>
              </w:rPr>
              <w:t>13</w:t>
            </w:r>
            <w:r>
              <w:rPr>
                <w:noProof/>
                <w:webHidden/>
              </w:rPr>
              <w:fldChar w:fldCharType="end"/>
            </w:r>
          </w:hyperlink>
        </w:p>
        <w:p w14:paraId="3F4BA754" w14:textId="7203DF62" w:rsidR="00D054AE" w:rsidRDefault="00D054AE">
          <w:pPr>
            <w:pStyle w:val="Obsah1"/>
            <w:tabs>
              <w:tab w:val="left" w:pos="480"/>
              <w:tab w:val="right" w:leader="dot" w:pos="9062"/>
            </w:tabs>
            <w:rPr>
              <w:rFonts w:eastAsiaTheme="minorEastAsia"/>
              <w:noProof/>
              <w:kern w:val="2"/>
              <w:sz w:val="24"/>
              <w:szCs w:val="24"/>
              <w:lang w:eastAsia="cs-CZ"/>
              <w14:ligatures w14:val="standardContextual"/>
            </w:rPr>
          </w:pPr>
          <w:hyperlink w:anchor="_Toc221799816" w:history="1">
            <w:r w:rsidRPr="000D2557">
              <w:rPr>
                <w:rStyle w:val="Hypertextovodkaz"/>
                <w:rFonts w:cstheme="minorHAnsi"/>
                <w:noProof/>
              </w:rPr>
              <w:t>4.</w:t>
            </w:r>
            <w:r>
              <w:rPr>
                <w:rFonts w:eastAsiaTheme="minorEastAsia"/>
                <w:noProof/>
                <w:kern w:val="2"/>
                <w:sz w:val="24"/>
                <w:szCs w:val="24"/>
                <w:lang w:eastAsia="cs-CZ"/>
                <w14:ligatures w14:val="standardContextual"/>
              </w:rPr>
              <w:tab/>
            </w:r>
            <w:r w:rsidRPr="000D2557">
              <w:rPr>
                <w:rStyle w:val="Hypertextovodkaz"/>
                <w:rFonts w:cstheme="minorHAnsi"/>
                <w:noProof/>
              </w:rPr>
              <w:t>Vliv jazyka resp. domácího kontextu na výslednou známku, využití výsledku.</w:t>
            </w:r>
            <w:r>
              <w:rPr>
                <w:noProof/>
                <w:webHidden/>
              </w:rPr>
              <w:tab/>
            </w:r>
            <w:r>
              <w:rPr>
                <w:noProof/>
                <w:webHidden/>
              </w:rPr>
              <w:fldChar w:fldCharType="begin"/>
            </w:r>
            <w:r>
              <w:rPr>
                <w:noProof/>
                <w:webHidden/>
              </w:rPr>
              <w:instrText xml:space="preserve"> PAGEREF _Toc221799816 \h </w:instrText>
            </w:r>
            <w:r>
              <w:rPr>
                <w:noProof/>
                <w:webHidden/>
              </w:rPr>
            </w:r>
            <w:r>
              <w:rPr>
                <w:noProof/>
                <w:webHidden/>
              </w:rPr>
              <w:fldChar w:fldCharType="separate"/>
            </w:r>
            <w:r w:rsidR="005A49A1">
              <w:rPr>
                <w:noProof/>
                <w:webHidden/>
              </w:rPr>
              <w:t>33</w:t>
            </w:r>
            <w:r>
              <w:rPr>
                <w:noProof/>
                <w:webHidden/>
              </w:rPr>
              <w:fldChar w:fldCharType="end"/>
            </w:r>
          </w:hyperlink>
        </w:p>
        <w:p w14:paraId="545F11EA" w14:textId="0FB0C93D" w:rsidR="00D054AE" w:rsidRDefault="00D054AE">
          <w:pPr>
            <w:pStyle w:val="Obsah1"/>
            <w:tabs>
              <w:tab w:val="left" w:pos="480"/>
              <w:tab w:val="right" w:leader="dot" w:pos="9062"/>
            </w:tabs>
            <w:rPr>
              <w:rFonts w:eastAsiaTheme="minorEastAsia"/>
              <w:noProof/>
              <w:kern w:val="2"/>
              <w:sz w:val="24"/>
              <w:szCs w:val="24"/>
              <w:lang w:eastAsia="cs-CZ"/>
              <w14:ligatures w14:val="standardContextual"/>
            </w:rPr>
          </w:pPr>
          <w:hyperlink w:anchor="_Toc221799817" w:history="1">
            <w:r w:rsidRPr="000D2557">
              <w:rPr>
                <w:rStyle w:val="Hypertextovodkaz"/>
                <w:rFonts w:cstheme="minorHAnsi"/>
                <w:noProof/>
              </w:rPr>
              <w:t>5.</w:t>
            </w:r>
            <w:r>
              <w:rPr>
                <w:rFonts w:eastAsiaTheme="minorEastAsia"/>
                <w:noProof/>
                <w:kern w:val="2"/>
                <w:sz w:val="24"/>
                <w:szCs w:val="24"/>
                <w:lang w:eastAsia="cs-CZ"/>
                <w14:ligatures w14:val="standardContextual"/>
              </w:rPr>
              <w:tab/>
            </w:r>
            <w:r w:rsidRPr="000D2557">
              <w:rPr>
                <w:rStyle w:val="Hypertextovodkaz"/>
                <w:rFonts w:cstheme="minorHAnsi"/>
                <w:noProof/>
              </w:rPr>
              <w:t>Nedostatečný počet hodnocení</w:t>
            </w:r>
            <w:r>
              <w:rPr>
                <w:noProof/>
                <w:webHidden/>
              </w:rPr>
              <w:tab/>
            </w:r>
            <w:r>
              <w:rPr>
                <w:noProof/>
                <w:webHidden/>
              </w:rPr>
              <w:fldChar w:fldCharType="begin"/>
            </w:r>
            <w:r>
              <w:rPr>
                <w:noProof/>
                <w:webHidden/>
              </w:rPr>
              <w:instrText xml:space="preserve"> PAGEREF _Toc221799817 \h </w:instrText>
            </w:r>
            <w:r>
              <w:rPr>
                <w:noProof/>
                <w:webHidden/>
              </w:rPr>
            </w:r>
            <w:r>
              <w:rPr>
                <w:noProof/>
                <w:webHidden/>
              </w:rPr>
              <w:fldChar w:fldCharType="separate"/>
            </w:r>
            <w:r w:rsidR="005A49A1">
              <w:rPr>
                <w:noProof/>
                <w:webHidden/>
              </w:rPr>
              <w:t>46</w:t>
            </w:r>
            <w:r>
              <w:rPr>
                <w:noProof/>
                <w:webHidden/>
              </w:rPr>
              <w:fldChar w:fldCharType="end"/>
            </w:r>
          </w:hyperlink>
        </w:p>
        <w:p w14:paraId="5E3F1406" w14:textId="1A10BD97" w:rsidR="00D054AE" w:rsidRDefault="00D054AE">
          <w:pPr>
            <w:pStyle w:val="Obsah1"/>
            <w:tabs>
              <w:tab w:val="left" w:pos="480"/>
              <w:tab w:val="right" w:leader="dot" w:pos="9062"/>
            </w:tabs>
            <w:rPr>
              <w:rFonts w:eastAsiaTheme="minorEastAsia"/>
              <w:noProof/>
              <w:kern w:val="2"/>
              <w:sz w:val="24"/>
              <w:szCs w:val="24"/>
              <w:lang w:eastAsia="cs-CZ"/>
              <w14:ligatures w14:val="standardContextual"/>
            </w:rPr>
          </w:pPr>
          <w:hyperlink w:anchor="_Toc221799818" w:history="1">
            <w:r w:rsidRPr="000D2557">
              <w:rPr>
                <w:rStyle w:val="Hypertextovodkaz"/>
                <w:rFonts w:cstheme="minorHAnsi"/>
                <w:noProof/>
              </w:rPr>
              <w:t>6.</w:t>
            </w:r>
            <w:r>
              <w:rPr>
                <w:rFonts w:eastAsiaTheme="minorEastAsia"/>
                <w:noProof/>
                <w:kern w:val="2"/>
                <w:sz w:val="24"/>
                <w:szCs w:val="24"/>
                <w:lang w:eastAsia="cs-CZ"/>
                <w14:ligatures w14:val="standardContextual"/>
              </w:rPr>
              <w:tab/>
            </w:r>
            <w:r w:rsidRPr="000D2557">
              <w:rPr>
                <w:rStyle w:val="Hypertextovodkaz"/>
                <w:rFonts w:cstheme="minorHAnsi"/>
                <w:noProof/>
              </w:rPr>
              <w:t>Vypořádání bez procesních námitek</w:t>
            </w:r>
            <w:r>
              <w:rPr>
                <w:noProof/>
                <w:webHidden/>
              </w:rPr>
              <w:tab/>
            </w:r>
            <w:r>
              <w:rPr>
                <w:noProof/>
                <w:webHidden/>
              </w:rPr>
              <w:fldChar w:fldCharType="begin"/>
            </w:r>
            <w:r>
              <w:rPr>
                <w:noProof/>
                <w:webHidden/>
              </w:rPr>
              <w:instrText xml:space="preserve"> PAGEREF _Toc221799818 \h </w:instrText>
            </w:r>
            <w:r>
              <w:rPr>
                <w:noProof/>
                <w:webHidden/>
              </w:rPr>
            </w:r>
            <w:r>
              <w:rPr>
                <w:noProof/>
                <w:webHidden/>
              </w:rPr>
              <w:fldChar w:fldCharType="separate"/>
            </w:r>
            <w:r w:rsidR="005A49A1">
              <w:rPr>
                <w:noProof/>
                <w:webHidden/>
              </w:rPr>
              <w:t>63</w:t>
            </w:r>
            <w:r>
              <w:rPr>
                <w:noProof/>
                <w:webHidden/>
              </w:rPr>
              <w:fldChar w:fldCharType="end"/>
            </w:r>
          </w:hyperlink>
        </w:p>
        <w:p w14:paraId="34F0181A" w14:textId="25EA6681" w:rsidR="00D054AE" w:rsidRDefault="00D054AE">
          <w:pPr>
            <w:pStyle w:val="Obsah1"/>
            <w:tabs>
              <w:tab w:val="left" w:pos="480"/>
              <w:tab w:val="right" w:leader="dot" w:pos="9062"/>
            </w:tabs>
            <w:rPr>
              <w:rFonts w:eastAsiaTheme="minorEastAsia"/>
              <w:noProof/>
              <w:kern w:val="2"/>
              <w:sz w:val="24"/>
              <w:szCs w:val="24"/>
              <w:lang w:eastAsia="cs-CZ"/>
              <w14:ligatures w14:val="standardContextual"/>
            </w:rPr>
          </w:pPr>
          <w:hyperlink w:anchor="_Toc221799819" w:history="1">
            <w:r w:rsidRPr="000D2557">
              <w:rPr>
                <w:rStyle w:val="Hypertextovodkaz"/>
                <w:rFonts w:cstheme="minorHAnsi"/>
                <w:noProof/>
              </w:rPr>
              <w:t>7.</w:t>
            </w:r>
            <w:r>
              <w:rPr>
                <w:rFonts w:eastAsiaTheme="minorEastAsia"/>
                <w:noProof/>
                <w:kern w:val="2"/>
                <w:sz w:val="24"/>
                <w:szCs w:val="24"/>
                <w:lang w:eastAsia="cs-CZ"/>
                <w14:ligatures w14:val="standardContextual"/>
              </w:rPr>
              <w:tab/>
            </w:r>
            <w:r w:rsidRPr="000D2557">
              <w:rPr>
                <w:rStyle w:val="Hypertextovodkaz"/>
                <w:rFonts w:cstheme="minorHAnsi"/>
                <w:noProof/>
              </w:rPr>
              <w:t>Chybné zařazení</w:t>
            </w:r>
            <w:r>
              <w:rPr>
                <w:noProof/>
                <w:webHidden/>
              </w:rPr>
              <w:tab/>
            </w:r>
            <w:r>
              <w:rPr>
                <w:noProof/>
                <w:webHidden/>
              </w:rPr>
              <w:fldChar w:fldCharType="begin"/>
            </w:r>
            <w:r>
              <w:rPr>
                <w:noProof/>
                <w:webHidden/>
              </w:rPr>
              <w:instrText xml:space="preserve"> PAGEREF _Toc221799819 \h </w:instrText>
            </w:r>
            <w:r>
              <w:rPr>
                <w:noProof/>
                <w:webHidden/>
              </w:rPr>
            </w:r>
            <w:r>
              <w:rPr>
                <w:noProof/>
                <w:webHidden/>
              </w:rPr>
              <w:fldChar w:fldCharType="separate"/>
            </w:r>
            <w:r w:rsidR="005A49A1">
              <w:rPr>
                <w:noProof/>
                <w:webHidden/>
              </w:rPr>
              <w:t>209</w:t>
            </w:r>
            <w:r>
              <w:rPr>
                <w:noProof/>
                <w:webHidden/>
              </w:rPr>
              <w:fldChar w:fldCharType="end"/>
            </w:r>
          </w:hyperlink>
        </w:p>
        <w:p w14:paraId="79D962D3" w14:textId="1A179728" w:rsidR="00D054AE" w:rsidRDefault="00D054AE">
          <w:pPr>
            <w:pStyle w:val="Obsah1"/>
            <w:tabs>
              <w:tab w:val="left" w:pos="480"/>
              <w:tab w:val="right" w:leader="dot" w:pos="9062"/>
            </w:tabs>
            <w:rPr>
              <w:rFonts w:eastAsiaTheme="minorEastAsia"/>
              <w:noProof/>
              <w:kern w:val="2"/>
              <w:sz w:val="24"/>
              <w:szCs w:val="24"/>
              <w:lang w:eastAsia="cs-CZ"/>
              <w14:ligatures w14:val="standardContextual"/>
            </w:rPr>
          </w:pPr>
          <w:hyperlink w:anchor="_Toc221799820" w:history="1">
            <w:r w:rsidRPr="000D2557">
              <w:rPr>
                <w:rStyle w:val="Hypertextovodkaz"/>
                <w:rFonts w:cstheme="minorHAnsi"/>
                <w:noProof/>
              </w:rPr>
              <w:t>8.</w:t>
            </w:r>
            <w:r>
              <w:rPr>
                <w:rFonts w:eastAsiaTheme="minorEastAsia"/>
                <w:noProof/>
                <w:kern w:val="2"/>
                <w:sz w:val="24"/>
                <w:szCs w:val="24"/>
                <w:lang w:eastAsia="cs-CZ"/>
                <w14:ligatures w14:val="standardContextual"/>
              </w:rPr>
              <w:tab/>
            </w:r>
            <w:r w:rsidRPr="000D2557">
              <w:rPr>
                <w:rStyle w:val="Hypertextovodkaz"/>
                <w:rFonts w:cstheme="minorHAnsi"/>
                <w:noProof/>
              </w:rPr>
              <w:t>Věcné námitky</w:t>
            </w:r>
            <w:r>
              <w:rPr>
                <w:noProof/>
                <w:webHidden/>
              </w:rPr>
              <w:tab/>
            </w:r>
            <w:r>
              <w:rPr>
                <w:noProof/>
                <w:webHidden/>
              </w:rPr>
              <w:fldChar w:fldCharType="begin"/>
            </w:r>
            <w:r>
              <w:rPr>
                <w:noProof/>
                <w:webHidden/>
              </w:rPr>
              <w:instrText xml:space="preserve"> PAGEREF _Toc221799820 \h </w:instrText>
            </w:r>
            <w:r>
              <w:rPr>
                <w:noProof/>
                <w:webHidden/>
              </w:rPr>
            </w:r>
            <w:r>
              <w:rPr>
                <w:noProof/>
                <w:webHidden/>
              </w:rPr>
              <w:fldChar w:fldCharType="separate"/>
            </w:r>
            <w:r w:rsidR="005A49A1">
              <w:rPr>
                <w:noProof/>
                <w:webHidden/>
              </w:rPr>
              <w:t>221</w:t>
            </w:r>
            <w:r>
              <w:rPr>
                <w:noProof/>
                <w:webHidden/>
              </w:rPr>
              <w:fldChar w:fldCharType="end"/>
            </w:r>
          </w:hyperlink>
        </w:p>
        <w:p w14:paraId="23B14080" w14:textId="3747B115" w:rsidR="00D054AE" w:rsidRDefault="00D054AE">
          <w:pPr>
            <w:pStyle w:val="Obsah1"/>
            <w:tabs>
              <w:tab w:val="left" w:pos="480"/>
              <w:tab w:val="right" w:leader="dot" w:pos="9062"/>
            </w:tabs>
            <w:rPr>
              <w:rFonts w:eastAsiaTheme="minorEastAsia"/>
              <w:noProof/>
              <w:kern w:val="2"/>
              <w:sz w:val="24"/>
              <w:szCs w:val="24"/>
              <w:lang w:eastAsia="cs-CZ"/>
              <w14:ligatures w14:val="standardContextual"/>
            </w:rPr>
          </w:pPr>
          <w:hyperlink w:anchor="_Toc221799821" w:history="1">
            <w:r w:rsidRPr="000D2557">
              <w:rPr>
                <w:rStyle w:val="Hypertextovodkaz"/>
                <w:rFonts w:cstheme="minorHAnsi"/>
                <w:noProof/>
              </w:rPr>
              <w:t>9.</w:t>
            </w:r>
            <w:r>
              <w:rPr>
                <w:rFonts w:eastAsiaTheme="minorEastAsia"/>
                <w:noProof/>
                <w:kern w:val="2"/>
                <w:sz w:val="24"/>
                <w:szCs w:val="24"/>
                <w:lang w:eastAsia="cs-CZ"/>
                <w14:ligatures w14:val="standardContextual"/>
              </w:rPr>
              <w:tab/>
            </w:r>
            <w:r w:rsidRPr="000D2557">
              <w:rPr>
                <w:rStyle w:val="Hypertextovodkaz"/>
                <w:rFonts w:cstheme="minorHAnsi"/>
                <w:noProof/>
              </w:rPr>
              <w:t>Námitky nepožadující změnu hodnocení</w:t>
            </w:r>
            <w:r>
              <w:rPr>
                <w:noProof/>
                <w:webHidden/>
              </w:rPr>
              <w:tab/>
            </w:r>
            <w:r>
              <w:rPr>
                <w:noProof/>
                <w:webHidden/>
              </w:rPr>
              <w:fldChar w:fldCharType="begin"/>
            </w:r>
            <w:r>
              <w:rPr>
                <w:noProof/>
                <w:webHidden/>
              </w:rPr>
              <w:instrText xml:space="preserve"> PAGEREF _Toc221799821 \h </w:instrText>
            </w:r>
            <w:r>
              <w:rPr>
                <w:noProof/>
                <w:webHidden/>
              </w:rPr>
            </w:r>
            <w:r>
              <w:rPr>
                <w:noProof/>
                <w:webHidden/>
              </w:rPr>
              <w:fldChar w:fldCharType="separate"/>
            </w:r>
            <w:r w:rsidR="005A49A1">
              <w:rPr>
                <w:noProof/>
                <w:webHidden/>
              </w:rPr>
              <w:t>270</w:t>
            </w:r>
            <w:r>
              <w:rPr>
                <w:noProof/>
                <w:webHidden/>
              </w:rPr>
              <w:fldChar w:fldCharType="end"/>
            </w:r>
          </w:hyperlink>
        </w:p>
        <w:p w14:paraId="62042E1D" w14:textId="4327DBF4" w:rsidR="00D054AE" w:rsidRDefault="00D054AE">
          <w:pPr>
            <w:pStyle w:val="Obsah1"/>
            <w:tabs>
              <w:tab w:val="left" w:pos="720"/>
              <w:tab w:val="right" w:leader="dot" w:pos="9062"/>
            </w:tabs>
            <w:rPr>
              <w:rFonts w:eastAsiaTheme="minorEastAsia"/>
              <w:noProof/>
              <w:kern w:val="2"/>
              <w:sz w:val="24"/>
              <w:szCs w:val="24"/>
              <w:lang w:eastAsia="cs-CZ"/>
              <w14:ligatures w14:val="standardContextual"/>
            </w:rPr>
          </w:pPr>
          <w:hyperlink w:anchor="_Toc221799822" w:history="1">
            <w:r w:rsidRPr="000D2557">
              <w:rPr>
                <w:rStyle w:val="Hypertextovodkaz"/>
                <w:rFonts w:cstheme="minorHAnsi"/>
                <w:noProof/>
              </w:rPr>
              <w:t>10.</w:t>
            </w:r>
            <w:r w:rsidR="00985C28">
              <w:rPr>
                <w:rFonts w:eastAsiaTheme="minorEastAsia"/>
                <w:noProof/>
                <w:kern w:val="2"/>
                <w:sz w:val="24"/>
                <w:szCs w:val="24"/>
                <w:lang w:eastAsia="cs-CZ"/>
                <w14:ligatures w14:val="standardContextual"/>
              </w:rPr>
              <w:t xml:space="preserve">    </w:t>
            </w:r>
            <w:r w:rsidRPr="000D2557">
              <w:rPr>
                <w:rStyle w:val="Hypertextovodkaz"/>
                <w:rFonts w:cstheme="minorHAnsi"/>
                <w:noProof/>
              </w:rPr>
              <w:t>Výsledky odevzdané po termínu</w:t>
            </w:r>
            <w:r>
              <w:rPr>
                <w:noProof/>
                <w:webHidden/>
              </w:rPr>
              <w:tab/>
            </w:r>
            <w:r>
              <w:rPr>
                <w:noProof/>
                <w:webHidden/>
              </w:rPr>
              <w:fldChar w:fldCharType="begin"/>
            </w:r>
            <w:r>
              <w:rPr>
                <w:noProof/>
                <w:webHidden/>
              </w:rPr>
              <w:instrText xml:space="preserve"> PAGEREF _Toc221799822 \h </w:instrText>
            </w:r>
            <w:r>
              <w:rPr>
                <w:noProof/>
                <w:webHidden/>
              </w:rPr>
            </w:r>
            <w:r>
              <w:rPr>
                <w:noProof/>
                <w:webHidden/>
              </w:rPr>
              <w:fldChar w:fldCharType="separate"/>
            </w:r>
            <w:r w:rsidR="005A49A1">
              <w:rPr>
                <w:noProof/>
                <w:webHidden/>
              </w:rPr>
              <w:t>280</w:t>
            </w:r>
            <w:r>
              <w:rPr>
                <w:noProof/>
                <w:webHidden/>
              </w:rPr>
              <w:fldChar w:fldCharType="end"/>
            </w:r>
          </w:hyperlink>
        </w:p>
        <w:p w14:paraId="5569F08A" w14:textId="054DBF6E" w:rsidR="00D054AE" w:rsidRDefault="00D054AE">
          <w:pPr>
            <w:pStyle w:val="Obsah1"/>
            <w:tabs>
              <w:tab w:val="left" w:pos="720"/>
              <w:tab w:val="right" w:leader="dot" w:pos="9062"/>
            </w:tabs>
            <w:rPr>
              <w:rFonts w:eastAsiaTheme="minorEastAsia"/>
              <w:noProof/>
              <w:kern w:val="2"/>
              <w:sz w:val="24"/>
              <w:szCs w:val="24"/>
              <w:lang w:eastAsia="cs-CZ"/>
              <w14:ligatures w14:val="standardContextual"/>
            </w:rPr>
          </w:pPr>
          <w:hyperlink w:anchor="_Toc221799823" w:history="1">
            <w:r w:rsidRPr="000D2557">
              <w:rPr>
                <w:rStyle w:val="Hypertextovodkaz"/>
                <w:rFonts w:cstheme="minorHAnsi"/>
                <w:noProof/>
              </w:rPr>
              <w:t>11.</w:t>
            </w:r>
            <w:r w:rsidR="00985C28">
              <w:rPr>
                <w:rStyle w:val="Hypertextovodkaz"/>
                <w:rFonts w:cstheme="minorHAnsi"/>
                <w:noProof/>
              </w:rPr>
              <w:t xml:space="preserve">    </w:t>
            </w:r>
            <w:r w:rsidRPr="000D2557">
              <w:rPr>
                <w:rStyle w:val="Hypertextovodkaz"/>
                <w:rFonts w:cstheme="minorHAnsi"/>
                <w:noProof/>
              </w:rPr>
              <w:t>Obecné námitky proti procesu hodnocení</w:t>
            </w:r>
            <w:r>
              <w:rPr>
                <w:noProof/>
                <w:webHidden/>
              </w:rPr>
              <w:tab/>
            </w:r>
            <w:r>
              <w:rPr>
                <w:noProof/>
                <w:webHidden/>
              </w:rPr>
              <w:fldChar w:fldCharType="begin"/>
            </w:r>
            <w:r>
              <w:rPr>
                <w:noProof/>
                <w:webHidden/>
              </w:rPr>
              <w:instrText xml:space="preserve"> PAGEREF _Toc221799823 \h </w:instrText>
            </w:r>
            <w:r>
              <w:rPr>
                <w:noProof/>
                <w:webHidden/>
              </w:rPr>
            </w:r>
            <w:r>
              <w:rPr>
                <w:noProof/>
                <w:webHidden/>
              </w:rPr>
              <w:fldChar w:fldCharType="separate"/>
            </w:r>
            <w:r w:rsidR="005A49A1">
              <w:rPr>
                <w:noProof/>
                <w:webHidden/>
              </w:rPr>
              <w:t>293</w:t>
            </w:r>
            <w:r>
              <w:rPr>
                <w:noProof/>
                <w:webHidden/>
              </w:rPr>
              <w:fldChar w:fldCharType="end"/>
            </w:r>
          </w:hyperlink>
        </w:p>
        <w:p w14:paraId="5C3DCE73" w14:textId="118E60B6" w:rsidR="00D054AE" w:rsidRDefault="00D054AE">
          <w:pPr>
            <w:pStyle w:val="Obsah1"/>
            <w:tabs>
              <w:tab w:val="left" w:pos="720"/>
              <w:tab w:val="right" w:leader="dot" w:pos="9062"/>
            </w:tabs>
            <w:rPr>
              <w:rFonts w:eastAsiaTheme="minorEastAsia"/>
              <w:noProof/>
              <w:kern w:val="2"/>
              <w:sz w:val="24"/>
              <w:szCs w:val="24"/>
              <w:lang w:eastAsia="cs-CZ"/>
              <w14:ligatures w14:val="standardContextual"/>
            </w:rPr>
          </w:pPr>
          <w:hyperlink w:anchor="_Toc221799824" w:history="1">
            <w:r w:rsidRPr="000D2557">
              <w:rPr>
                <w:rStyle w:val="Hypertextovodkaz"/>
                <w:rFonts w:cstheme="minorHAnsi"/>
                <w:noProof/>
              </w:rPr>
              <w:t>12.</w:t>
            </w:r>
            <w:r w:rsidR="00985C28">
              <w:rPr>
                <w:rFonts w:eastAsiaTheme="minorEastAsia"/>
                <w:noProof/>
                <w:kern w:val="2"/>
                <w:sz w:val="24"/>
                <w:szCs w:val="24"/>
                <w:lang w:eastAsia="cs-CZ"/>
                <w14:ligatures w14:val="standardContextual"/>
              </w:rPr>
              <w:t xml:space="preserve">    </w:t>
            </w:r>
            <w:r w:rsidRPr="000D2557">
              <w:rPr>
                <w:rStyle w:val="Hypertextovodkaz"/>
                <w:rFonts w:cstheme="minorHAnsi"/>
                <w:noProof/>
              </w:rPr>
              <w:t>Modul 2</w:t>
            </w:r>
            <w:r>
              <w:rPr>
                <w:noProof/>
                <w:webHidden/>
              </w:rPr>
              <w:tab/>
            </w:r>
            <w:r>
              <w:rPr>
                <w:noProof/>
                <w:webHidden/>
              </w:rPr>
              <w:fldChar w:fldCharType="begin"/>
            </w:r>
            <w:r>
              <w:rPr>
                <w:noProof/>
                <w:webHidden/>
              </w:rPr>
              <w:instrText xml:space="preserve"> PAGEREF _Toc221799824 \h </w:instrText>
            </w:r>
            <w:r>
              <w:rPr>
                <w:noProof/>
                <w:webHidden/>
              </w:rPr>
            </w:r>
            <w:r>
              <w:rPr>
                <w:noProof/>
                <w:webHidden/>
              </w:rPr>
              <w:fldChar w:fldCharType="separate"/>
            </w:r>
            <w:r w:rsidR="005A49A1">
              <w:rPr>
                <w:noProof/>
                <w:webHidden/>
              </w:rPr>
              <w:t>296</w:t>
            </w:r>
            <w:r>
              <w:rPr>
                <w:noProof/>
                <w:webHidden/>
              </w:rPr>
              <w:fldChar w:fldCharType="end"/>
            </w:r>
          </w:hyperlink>
        </w:p>
        <w:p w14:paraId="06635F4E" w14:textId="4A25F655" w:rsidR="00F30E2B" w:rsidRPr="00C24D02" w:rsidRDefault="00D65CC8" w:rsidP="00D65CC8">
          <w:pPr>
            <w:rPr>
              <w:rFonts w:asciiTheme="minorHAnsi" w:hAnsiTheme="minorHAnsi" w:cstheme="minorHAnsi"/>
              <w:sz w:val="22"/>
              <w:szCs w:val="22"/>
            </w:rPr>
          </w:pPr>
          <w:r w:rsidRPr="00C24D02">
            <w:rPr>
              <w:rFonts w:asciiTheme="minorHAnsi" w:eastAsia="Calibri" w:hAnsiTheme="minorHAnsi" w:cstheme="minorHAnsi"/>
              <w:color w:val="000000"/>
              <w:sz w:val="22"/>
              <w:szCs w:val="22"/>
              <w:lang w:eastAsia="en-US"/>
            </w:rPr>
            <w:fldChar w:fldCharType="end"/>
          </w:r>
        </w:p>
      </w:sdtContent>
    </w:sdt>
    <w:p w14:paraId="61061CC1" w14:textId="77777777" w:rsidR="00D65CC8" w:rsidRPr="00C24D02" w:rsidRDefault="00D65CC8" w:rsidP="00D65CC8">
      <w:pPr>
        <w:rPr>
          <w:rFonts w:asciiTheme="minorHAnsi" w:hAnsiTheme="minorHAnsi" w:cstheme="minorHAnsi"/>
          <w:sz w:val="22"/>
          <w:szCs w:val="22"/>
        </w:rPr>
      </w:pPr>
    </w:p>
    <w:p w14:paraId="444CEA32" w14:textId="55C16012" w:rsidR="00D65CC8" w:rsidRPr="00C24D02" w:rsidRDefault="00D65CC8">
      <w:pPr>
        <w:suppressAutoHyphens w:val="0"/>
        <w:spacing w:after="160" w:line="259" w:lineRule="auto"/>
        <w:rPr>
          <w:rFonts w:asciiTheme="minorHAnsi" w:hAnsiTheme="minorHAnsi" w:cstheme="minorHAnsi"/>
          <w:sz w:val="22"/>
          <w:szCs w:val="22"/>
        </w:rPr>
      </w:pPr>
      <w:r w:rsidRPr="00C24D02">
        <w:rPr>
          <w:rFonts w:asciiTheme="minorHAnsi" w:hAnsiTheme="minorHAnsi" w:cstheme="minorHAnsi"/>
          <w:sz w:val="22"/>
          <w:szCs w:val="22"/>
        </w:rPr>
        <w:br w:type="page"/>
      </w:r>
    </w:p>
    <w:p w14:paraId="573D2631" w14:textId="77777777" w:rsidR="00D65CC8" w:rsidRPr="00C24D02" w:rsidRDefault="00D65CC8" w:rsidP="00704870">
      <w:pPr>
        <w:pStyle w:val="Nadpis1"/>
        <w:numPr>
          <w:ilvl w:val="0"/>
          <w:numId w:val="1"/>
        </w:numPr>
        <w:spacing w:before="480" w:after="480" w:line="360" w:lineRule="auto"/>
        <w:ind w:left="714" w:hanging="357"/>
        <w:rPr>
          <w:rFonts w:asciiTheme="minorHAnsi" w:hAnsiTheme="minorHAnsi" w:cstheme="minorHAnsi"/>
          <w:sz w:val="22"/>
          <w:szCs w:val="22"/>
        </w:rPr>
      </w:pPr>
      <w:bookmarkStart w:id="0" w:name="_Toc221799813"/>
      <w:r w:rsidRPr="00C24D02">
        <w:rPr>
          <w:rFonts w:asciiTheme="minorHAnsi" w:hAnsiTheme="minorHAnsi" w:cstheme="minorHAnsi"/>
          <w:sz w:val="22"/>
          <w:szCs w:val="22"/>
        </w:rPr>
        <w:lastRenderedPageBreak/>
        <w:t>Úvod</w:t>
      </w:r>
      <w:bookmarkEnd w:id="0"/>
    </w:p>
    <w:p w14:paraId="5FEF1538" w14:textId="41239959" w:rsidR="00D65CC8" w:rsidRPr="00C24D02" w:rsidRDefault="00D65CC8" w:rsidP="00D65CC8">
      <w:pPr>
        <w:spacing w:after="144" w:line="360" w:lineRule="auto"/>
        <w:ind w:firstLine="360"/>
        <w:jc w:val="both"/>
        <w:rPr>
          <w:rFonts w:asciiTheme="minorHAnsi" w:hAnsiTheme="minorHAnsi" w:cstheme="minorHAnsi"/>
          <w:sz w:val="22"/>
          <w:szCs w:val="22"/>
        </w:rPr>
      </w:pPr>
      <w:r w:rsidRPr="00C24D02">
        <w:rPr>
          <w:rFonts w:asciiTheme="minorHAnsi" w:hAnsiTheme="minorHAnsi" w:cstheme="minorHAnsi"/>
          <w:sz w:val="22"/>
          <w:szCs w:val="22"/>
        </w:rPr>
        <w:t>Rada pro výzkum vývoj a inovace (dále jen „Rada“) na svém 4</w:t>
      </w:r>
      <w:r w:rsidR="00ED2A78" w:rsidRPr="00C24D02">
        <w:rPr>
          <w:rFonts w:asciiTheme="minorHAnsi" w:hAnsiTheme="minorHAnsi" w:cstheme="minorHAnsi"/>
          <w:sz w:val="22"/>
          <w:szCs w:val="22"/>
        </w:rPr>
        <w:t>14</w:t>
      </w:r>
      <w:r w:rsidRPr="00C24D02">
        <w:rPr>
          <w:rFonts w:asciiTheme="minorHAnsi" w:hAnsiTheme="minorHAnsi" w:cstheme="minorHAnsi"/>
          <w:sz w:val="22"/>
          <w:szCs w:val="22"/>
        </w:rPr>
        <w:t>. zasedání dne </w:t>
      </w:r>
      <w:r w:rsidR="00ED2A78" w:rsidRPr="00C24D02">
        <w:rPr>
          <w:rFonts w:asciiTheme="minorHAnsi" w:hAnsiTheme="minorHAnsi" w:cstheme="minorHAnsi"/>
          <w:sz w:val="22"/>
          <w:szCs w:val="22"/>
        </w:rPr>
        <w:t>19</w:t>
      </w:r>
      <w:r w:rsidRPr="00C24D02">
        <w:rPr>
          <w:rFonts w:asciiTheme="minorHAnsi" w:hAnsiTheme="minorHAnsi" w:cstheme="minorHAnsi"/>
          <w:sz w:val="22"/>
          <w:szCs w:val="22"/>
        </w:rPr>
        <w:t>. září 202</w:t>
      </w:r>
      <w:r w:rsidR="00ED2A78" w:rsidRPr="00C24D02">
        <w:rPr>
          <w:rFonts w:asciiTheme="minorHAnsi" w:hAnsiTheme="minorHAnsi" w:cstheme="minorHAnsi"/>
          <w:sz w:val="22"/>
          <w:szCs w:val="22"/>
        </w:rPr>
        <w:t>5</w:t>
      </w:r>
      <w:r w:rsidRPr="00C24D02">
        <w:rPr>
          <w:rFonts w:asciiTheme="minorHAnsi" w:hAnsiTheme="minorHAnsi" w:cstheme="minorHAnsi"/>
          <w:sz w:val="22"/>
          <w:szCs w:val="22"/>
        </w:rPr>
        <w:t xml:space="preserve"> schválila zveřejnění výstupů z Modulu 1</w:t>
      </w:r>
      <w:r w:rsidR="00ED2A78" w:rsidRPr="00C24D02">
        <w:rPr>
          <w:rFonts w:asciiTheme="minorHAnsi" w:hAnsiTheme="minorHAnsi" w:cstheme="minorHAnsi"/>
          <w:sz w:val="22"/>
          <w:szCs w:val="22"/>
        </w:rPr>
        <w:t xml:space="preserve"> a 2</w:t>
      </w:r>
      <w:r w:rsidRPr="00C24D02">
        <w:rPr>
          <w:rFonts w:asciiTheme="minorHAnsi" w:hAnsiTheme="minorHAnsi" w:cstheme="minorHAnsi"/>
          <w:sz w:val="22"/>
          <w:szCs w:val="22"/>
        </w:rPr>
        <w:t xml:space="preserve"> po </w:t>
      </w:r>
      <w:r w:rsidR="00ED2A78" w:rsidRPr="00C24D02">
        <w:rPr>
          <w:rFonts w:asciiTheme="minorHAnsi" w:hAnsiTheme="minorHAnsi" w:cstheme="minorHAnsi"/>
          <w:sz w:val="22"/>
          <w:szCs w:val="22"/>
        </w:rPr>
        <w:t>osmém</w:t>
      </w:r>
      <w:r w:rsidRPr="00C24D02">
        <w:rPr>
          <w:rFonts w:asciiTheme="minorHAnsi" w:hAnsiTheme="minorHAnsi" w:cstheme="minorHAnsi"/>
          <w:sz w:val="22"/>
          <w:szCs w:val="22"/>
        </w:rPr>
        <w:t xml:space="preserve"> roce implementace </w:t>
      </w:r>
      <w:r w:rsidRPr="00C24D02">
        <w:rPr>
          <w:rFonts w:asciiTheme="minorHAnsi" w:hAnsiTheme="minorHAnsi" w:cstheme="minorHAnsi"/>
          <w:bCs/>
          <w:iCs/>
          <w:sz w:val="22"/>
          <w:szCs w:val="22"/>
        </w:rPr>
        <w:t>Metodiky hodnocení výzkumných organizací a programů účelové podpory výzkumu, vývoje a inovací</w:t>
      </w:r>
      <w:r w:rsidRPr="00C24D02">
        <w:rPr>
          <w:rStyle w:val="Znakapoznpodarou1"/>
          <w:rFonts w:asciiTheme="minorHAnsi" w:eastAsiaTheme="majorEastAsia" w:hAnsiTheme="minorHAnsi" w:cstheme="minorHAnsi"/>
          <w:bCs/>
          <w:iCs/>
          <w:sz w:val="22"/>
          <w:szCs w:val="22"/>
        </w:rPr>
        <w:footnoteReference w:id="1"/>
      </w:r>
      <w:r w:rsidRPr="00C24D02">
        <w:rPr>
          <w:rFonts w:asciiTheme="minorHAnsi" w:hAnsiTheme="minorHAnsi" w:cstheme="minorHAnsi"/>
          <w:bCs/>
          <w:sz w:val="22"/>
          <w:szCs w:val="22"/>
        </w:rPr>
        <w:t> (dále „M17+“</w:t>
      </w:r>
      <w:r w:rsidRPr="00C24D02">
        <w:rPr>
          <w:rFonts w:asciiTheme="minorHAnsi" w:hAnsiTheme="minorHAnsi" w:cstheme="minorHAnsi"/>
          <w:sz w:val="22"/>
          <w:szCs w:val="22"/>
        </w:rPr>
        <w:t xml:space="preserve">) a požádala výzkumné organizace v případě potřeby o zpětnou vazbu ke zveřejněným výstupům z hodnocení podle M17+ na národní úrovni, a to do 30 dnů od data jejich zpřístupnění.  Lhůta pro zasílání podnětů uplynula dne </w:t>
      </w:r>
      <w:r w:rsidR="00ED2A78" w:rsidRPr="00C24D02">
        <w:rPr>
          <w:rFonts w:asciiTheme="minorHAnsi" w:hAnsiTheme="minorHAnsi" w:cstheme="minorHAnsi"/>
          <w:sz w:val="22"/>
          <w:szCs w:val="22"/>
        </w:rPr>
        <w:t>24</w:t>
      </w:r>
      <w:r w:rsidRPr="00C24D02">
        <w:rPr>
          <w:rFonts w:asciiTheme="minorHAnsi" w:hAnsiTheme="minorHAnsi" w:cstheme="minorHAnsi"/>
          <w:sz w:val="22"/>
          <w:szCs w:val="22"/>
        </w:rPr>
        <w:t>. října 202</w:t>
      </w:r>
      <w:r w:rsidR="00ED2A78" w:rsidRPr="00C24D02">
        <w:rPr>
          <w:rFonts w:asciiTheme="minorHAnsi" w:hAnsiTheme="minorHAnsi" w:cstheme="minorHAnsi"/>
          <w:sz w:val="22"/>
          <w:szCs w:val="22"/>
        </w:rPr>
        <w:t>5</w:t>
      </w:r>
      <w:r w:rsidRPr="00C24D02">
        <w:rPr>
          <w:rFonts w:asciiTheme="minorHAnsi" w:hAnsiTheme="minorHAnsi" w:cstheme="minorHAnsi"/>
          <w:sz w:val="22"/>
          <w:szCs w:val="22"/>
        </w:rPr>
        <w:t xml:space="preserve">. </w:t>
      </w:r>
    </w:p>
    <w:p w14:paraId="720DE300" w14:textId="77777777" w:rsidR="00D65CC8" w:rsidRPr="00C24D02" w:rsidRDefault="00D65CC8" w:rsidP="00D65CC8">
      <w:pPr>
        <w:spacing w:after="144" w:line="360" w:lineRule="auto"/>
        <w:ind w:firstLine="360"/>
        <w:jc w:val="both"/>
        <w:rPr>
          <w:rFonts w:asciiTheme="minorHAnsi" w:hAnsiTheme="minorHAnsi" w:cstheme="minorHAnsi"/>
          <w:sz w:val="22"/>
          <w:szCs w:val="22"/>
        </w:rPr>
      </w:pPr>
      <w:r w:rsidRPr="00C24D02">
        <w:rPr>
          <w:rFonts w:asciiTheme="minorHAnsi" w:hAnsiTheme="minorHAnsi" w:cstheme="minorHAnsi"/>
          <w:sz w:val="22"/>
          <w:szCs w:val="22"/>
        </w:rPr>
        <w:t>Pro posouzení formální správnosti postupu Odborného panelu při hodnocení vybraných výsledků je zapotřebí porovnat proces hodnocení s M17+ a Postupem hodnocení výsledků dle M17+</w:t>
      </w:r>
      <w:r w:rsidRPr="00C24D02">
        <w:rPr>
          <w:rStyle w:val="Znakapoznpodarou1"/>
          <w:rFonts w:asciiTheme="minorHAnsi" w:eastAsiaTheme="majorEastAsia" w:hAnsiTheme="minorHAnsi" w:cstheme="minorHAnsi"/>
          <w:sz w:val="22"/>
          <w:szCs w:val="22"/>
        </w:rPr>
        <w:footnoteReference w:id="2"/>
      </w:r>
      <w:r w:rsidRPr="00C24D02">
        <w:rPr>
          <w:rFonts w:asciiTheme="minorHAnsi" w:hAnsiTheme="minorHAnsi" w:cstheme="minorHAnsi"/>
          <w:sz w:val="22"/>
          <w:szCs w:val="22"/>
        </w:rPr>
        <w:t xml:space="preserve"> (dále jen „Postup “). </w:t>
      </w:r>
    </w:p>
    <w:p w14:paraId="19CA7927" w14:textId="77777777" w:rsidR="00D65CC8" w:rsidRPr="00C24D02" w:rsidRDefault="00D65CC8" w:rsidP="00D65CC8">
      <w:pPr>
        <w:spacing w:after="144" w:line="360" w:lineRule="auto"/>
        <w:ind w:firstLine="360"/>
        <w:jc w:val="both"/>
        <w:rPr>
          <w:rFonts w:asciiTheme="minorHAnsi" w:hAnsiTheme="minorHAnsi" w:cstheme="minorHAnsi"/>
          <w:sz w:val="22"/>
          <w:szCs w:val="22"/>
        </w:rPr>
      </w:pPr>
      <w:r w:rsidRPr="00C24D02">
        <w:rPr>
          <w:rFonts w:asciiTheme="minorHAnsi" w:hAnsiTheme="minorHAnsi" w:cstheme="minorHAnsi"/>
          <w:sz w:val="22"/>
          <w:szCs w:val="22"/>
        </w:rPr>
        <w:t xml:space="preserve">Komise pro hodnocení výzkumných organizací a ukončených programů (dále jen „KHV“) se na svém 138. jednání ze dne 8. listopadu 2021 shodla na následujícím postupu: „Reklamace k zveřejněným výstupům z Modulu 1 budou kompletovány k rozhodnému datu (30 dnů od zpřístupnění veřejnosti) a následně předány k vyjádření předsedům Odborných panelů, resp. garantům hodnocení vybraných výsledků a následně postoupeny KHV (…)“. </w:t>
      </w:r>
    </w:p>
    <w:p w14:paraId="07969447" w14:textId="164C3F60" w:rsidR="00D65CC8" w:rsidRPr="00C24D02" w:rsidRDefault="00D65CC8" w:rsidP="00D65CC8">
      <w:pPr>
        <w:spacing w:after="144" w:line="360" w:lineRule="auto"/>
        <w:ind w:firstLine="360"/>
        <w:jc w:val="both"/>
        <w:rPr>
          <w:rFonts w:asciiTheme="minorHAnsi" w:hAnsiTheme="minorHAnsi" w:cstheme="minorHAnsi"/>
          <w:sz w:val="22"/>
          <w:szCs w:val="22"/>
          <w:highlight w:val="yellow"/>
        </w:rPr>
      </w:pPr>
      <w:r w:rsidRPr="00C24D02">
        <w:rPr>
          <w:rFonts w:asciiTheme="minorHAnsi" w:hAnsiTheme="minorHAnsi" w:cstheme="minorHAnsi"/>
          <w:sz w:val="22"/>
          <w:szCs w:val="22"/>
        </w:rPr>
        <w:t>Námitky zaslané výzkumnými organizacemi v Modulu 1</w:t>
      </w:r>
      <w:r w:rsidR="00ED2A78" w:rsidRPr="00C24D02">
        <w:rPr>
          <w:rFonts w:asciiTheme="minorHAnsi" w:hAnsiTheme="minorHAnsi" w:cstheme="minorHAnsi"/>
          <w:sz w:val="22"/>
          <w:szCs w:val="22"/>
        </w:rPr>
        <w:t xml:space="preserve"> a 2</w:t>
      </w:r>
      <w:r w:rsidRPr="00C24D02">
        <w:rPr>
          <w:rFonts w:asciiTheme="minorHAnsi" w:hAnsiTheme="minorHAnsi" w:cstheme="minorHAnsi"/>
          <w:sz w:val="22"/>
          <w:szCs w:val="22"/>
        </w:rPr>
        <w:t xml:space="preserve"> byly shromážděny a evidovány Sekcí pro vědu, výzkum a inovace. Po uplynutí lhůty byly zaslány příslušným předsedům Odborných panelů, kteří ve spolupráci s garanty hodnocení vybraných výsledků příslušných oborů námitky vypořádali. Tato vyjádření předsedů oborných panelů a garantů byla projednána na 1</w:t>
      </w:r>
      <w:r w:rsidR="00ED2A78" w:rsidRPr="00C24D02">
        <w:rPr>
          <w:rFonts w:asciiTheme="minorHAnsi" w:hAnsiTheme="minorHAnsi" w:cstheme="minorHAnsi"/>
          <w:sz w:val="22"/>
          <w:szCs w:val="22"/>
        </w:rPr>
        <w:t>81</w:t>
      </w:r>
      <w:r w:rsidRPr="00C24D02">
        <w:rPr>
          <w:rFonts w:asciiTheme="minorHAnsi" w:hAnsiTheme="minorHAnsi" w:cstheme="minorHAnsi"/>
          <w:sz w:val="22"/>
          <w:szCs w:val="22"/>
        </w:rPr>
        <w:t xml:space="preserve">. jednání KHV dne </w:t>
      </w:r>
      <w:r w:rsidR="00ED2A78" w:rsidRPr="00C24D02">
        <w:rPr>
          <w:rFonts w:asciiTheme="minorHAnsi" w:hAnsiTheme="minorHAnsi" w:cstheme="minorHAnsi"/>
          <w:sz w:val="22"/>
          <w:szCs w:val="22"/>
        </w:rPr>
        <w:t>9</w:t>
      </w:r>
      <w:r w:rsidRPr="00C24D02">
        <w:rPr>
          <w:rFonts w:asciiTheme="minorHAnsi" w:hAnsiTheme="minorHAnsi" w:cstheme="minorHAnsi"/>
          <w:sz w:val="22"/>
          <w:szCs w:val="22"/>
        </w:rPr>
        <w:t xml:space="preserve">. </w:t>
      </w:r>
      <w:r w:rsidR="00ED2A78" w:rsidRPr="00C24D02">
        <w:rPr>
          <w:rFonts w:asciiTheme="minorHAnsi" w:hAnsiTheme="minorHAnsi" w:cstheme="minorHAnsi"/>
          <w:sz w:val="22"/>
          <w:szCs w:val="22"/>
        </w:rPr>
        <w:t>února</w:t>
      </w:r>
      <w:r w:rsidRPr="00C24D02">
        <w:rPr>
          <w:rFonts w:asciiTheme="minorHAnsi" w:hAnsiTheme="minorHAnsi" w:cstheme="minorHAnsi"/>
          <w:sz w:val="22"/>
          <w:szCs w:val="22"/>
        </w:rPr>
        <w:t xml:space="preserve"> 202</w:t>
      </w:r>
      <w:r w:rsidR="00ED2A78" w:rsidRPr="00C24D02">
        <w:rPr>
          <w:rFonts w:asciiTheme="minorHAnsi" w:hAnsiTheme="minorHAnsi" w:cstheme="minorHAnsi"/>
          <w:sz w:val="22"/>
          <w:szCs w:val="22"/>
        </w:rPr>
        <w:t>6</w:t>
      </w:r>
      <w:r w:rsidRPr="00C24D02">
        <w:rPr>
          <w:rFonts w:asciiTheme="minorHAnsi" w:hAnsiTheme="minorHAnsi" w:cstheme="minorHAnsi"/>
          <w:sz w:val="22"/>
          <w:szCs w:val="22"/>
        </w:rPr>
        <w:t xml:space="preserve">, a následně členy KHV schválena. </w:t>
      </w:r>
    </w:p>
    <w:p w14:paraId="36C329BB" w14:textId="7876317F" w:rsidR="00D65CC8" w:rsidRPr="00C24D02" w:rsidRDefault="00D65CC8" w:rsidP="00D65CC8">
      <w:pPr>
        <w:pStyle w:val="Odstavecseseznamem"/>
        <w:numPr>
          <w:ilvl w:val="0"/>
          <w:numId w:val="2"/>
        </w:numPr>
        <w:spacing w:after="144" w:line="360" w:lineRule="auto"/>
        <w:contextualSpacing w:val="0"/>
        <w:jc w:val="both"/>
        <w:rPr>
          <w:rFonts w:asciiTheme="minorHAnsi" w:hAnsiTheme="minorHAnsi" w:cstheme="minorHAnsi"/>
          <w:sz w:val="22"/>
          <w:szCs w:val="22"/>
        </w:rPr>
      </w:pPr>
      <w:r w:rsidRPr="00C24D02">
        <w:rPr>
          <w:rFonts w:asciiTheme="minorHAnsi" w:hAnsiTheme="minorHAnsi" w:cstheme="minorHAnsi"/>
          <w:sz w:val="22"/>
          <w:szCs w:val="22"/>
        </w:rPr>
        <w:t xml:space="preserve">Odborný panel 1. Natural Sciences zpracoval vyjádření k </w:t>
      </w:r>
      <w:r w:rsidR="00945EDE" w:rsidRPr="00C24D02">
        <w:rPr>
          <w:rFonts w:asciiTheme="minorHAnsi" w:hAnsiTheme="minorHAnsi" w:cstheme="minorHAnsi"/>
          <w:sz w:val="22"/>
          <w:szCs w:val="22"/>
        </w:rPr>
        <w:t>63</w:t>
      </w:r>
      <w:r w:rsidRPr="00C24D02">
        <w:rPr>
          <w:rFonts w:asciiTheme="minorHAnsi" w:hAnsiTheme="minorHAnsi" w:cstheme="minorHAnsi"/>
          <w:sz w:val="22"/>
          <w:szCs w:val="22"/>
        </w:rPr>
        <w:t xml:space="preserve"> námitkám pro </w:t>
      </w:r>
      <w:r w:rsidR="003374B6" w:rsidRPr="00C24D02">
        <w:rPr>
          <w:rFonts w:asciiTheme="minorHAnsi" w:hAnsiTheme="minorHAnsi" w:cstheme="minorHAnsi"/>
          <w:sz w:val="22"/>
          <w:szCs w:val="22"/>
        </w:rPr>
        <w:t>25</w:t>
      </w:r>
      <w:r w:rsidRPr="00C24D02">
        <w:rPr>
          <w:rFonts w:asciiTheme="minorHAnsi" w:hAnsiTheme="minorHAnsi" w:cstheme="minorHAnsi"/>
          <w:sz w:val="22"/>
          <w:szCs w:val="22"/>
        </w:rPr>
        <w:t> výzkumných institucí (</w:t>
      </w:r>
      <w:r w:rsidR="003374B6" w:rsidRPr="00C24D02">
        <w:rPr>
          <w:rFonts w:asciiTheme="minorHAnsi" w:hAnsiTheme="minorHAnsi" w:cstheme="minorHAnsi"/>
          <w:i/>
          <w:iCs/>
          <w:sz w:val="22"/>
          <w:szCs w:val="22"/>
        </w:rPr>
        <w:t>Astronomický ústav AV ČR; Biologické centrum AV ČR; Botanický ústav AV ČR; Česká geologická služba; Český metrologický institut; České vysoké učení technické; Česká zemědělská univerzita; Fakultní nemocnice u Sv. Anny v Brně; Fyziologický ústav; Mendlova univerzita, Masarykova univerzita, Univerzita Karlova, Univerzita Pardubice, Univerzita Palackého v Olomouci; Ústav fotoniky a elektroniky AV ČR</w:t>
      </w:r>
      <w:r w:rsidR="004B2E5B" w:rsidRPr="00C24D02">
        <w:rPr>
          <w:rFonts w:asciiTheme="minorHAnsi" w:hAnsiTheme="minorHAnsi" w:cstheme="minorHAnsi"/>
          <w:i/>
          <w:iCs/>
          <w:sz w:val="22"/>
          <w:szCs w:val="22"/>
        </w:rPr>
        <w:t>;</w:t>
      </w:r>
      <w:r w:rsidR="004B2E5B" w:rsidRPr="00C24D02">
        <w:rPr>
          <w:rFonts w:asciiTheme="minorHAnsi" w:hAnsiTheme="minorHAnsi" w:cstheme="minorHAnsi"/>
          <w:i/>
          <w:iCs/>
        </w:rPr>
        <w:t xml:space="preserve"> </w:t>
      </w:r>
      <w:r w:rsidR="004B2E5B" w:rsidRPr="00C24D02">
        <w:rPr>
          <w:rFonts w:asciiTheme="minorHAnsi" w:hAnsiTheme="minorHAnsi" w:cstheme="minorHAnsi"/>
          <w:i/>
          <w:iCs/>
          <w:sz w:val="22"/>
          <w:szCs w:val="22"/>
        </w:rPr>
        <w:t xml:space="preserve">Ústav fyzikální chemie J. Heyrovského AV ČR; Ústav geoniky AV ČR; Ústav informatiky AV ČR; Ústav termomechaniky AV ČR; Ústav výzkumu globální změny AV ČR; Vysoká škola Báňská – Technická univerzita Ostrava; </w:t>
      </w:r>
      <w:r w:rsidR="004B2E5B" w:rsidRPr="00C24D02">
        <w:rPr>
          <w:rFonts w:asciiTheme="minorHAnsi" w:hAnsiTheme="minorHAnsi" w:cstheme="minorHAnsi"/>
          <w:i/>
          <w:iCs/>
          <w:sz w:val="22"/>
          <w:szCs w:val="22"/>
        </w:rPr>
        <w:lastRenderedPageBreak/>
        <w:t>Vysoká škola chemicko-technologická; Vysoké učení technické</w:t>
      </w:r>
      <w:r w:rsidR="00F54025" w:rsidRPr="00C24D02">
        <w:rPr>
          <w:rFonts w:asciiTheme="minorHAnsi" w:hAnsiTheme="minorHAnsi" w:cstheme="minorHAnsi"/>
          <w:i/>
          <w:iCs/>
          <w:sz w:val="22"/>
          <w:szCs w:val="22"/>
        </w:rPr>
        <w:t xml:space="preserve"> v Brně</w:t>
      </w:r>
      <w:r w:rsidR="004B2E5B" w:rsidRPr="00C24D02">
        <w:rPr>
          <w:rFonts w:asciiTheme="minorHAnsi" w:hAnsiTheme="minorHAnsi" w:cstheme="minorHAnsi"/>
          <w:i/>
          <w:iCs/>
          <w:sz w:val="22"/>
          <w:szCs w:val="22"/>
        </w:rPr>
        <w:t>; Výzkumný ústav vodohospodářský, Západočeská univerzita</w:t>
      </w:r>
      <w:r w:rsidR="004B2E5B" w:rsidRPr="00C24D02">
        <w:rPr>
          <w:rFonts w:asciiTheme="minorHAnsi" w:hAnsiTheme="minorHAnsi" w:cstheme="minorHAnsi"/>
          <w:sz w:val="22"/>
          <w:szCs w:val="22"/>
        </w:rPr>
        <w:t>)</w:t>
      </w:r>
    </w:p>
    <w:p w14:paraId="39A20208" w14:textId="5858C23A" w:rsidR="004B2E5B" w:rsidRPr="00C24D02" w:rsidRDefault="00D65CC8" w:rsidP="00D65CC8">
      <w:pPr>
        <w:pStyle w:val="Odstavecseseznamem"/>
        <w:numPr>
          <w:ilvl w:val="0"/>
          <w:numId w:val="2"/>
        </w:numPr>
        <w:spacing w:after="144" w:line="360" w:lineRule="auto"/>
        <w:contextualSpacing w:val="0"/>
        <w:jc w:val="both"/>
        <w:rPr>
          <w:rFonts w:asciiTheme="minorHAnsi" w:hAnsiTheme="minorHAnsi" w:cstheme="minorHAnsi"/>
          <w:sz w:val="22"/>
          <w:szCs w:val="22"/>
        </w:rPr>
      </w:pPr>
      <w:r w:rsidRPr="00C24D02">
        <w:rPr>
          <w:rFonts w:asciiTheme="minorHAnsi" w:hAnsiTheme="minorHAnsi" w:cstheme="minorHAnsi"/>
          <w:sz w:val="22"/>
          <w:szCs w:val="22"/>
        </w:rPr>
        <w:t xml:space="preserve">Odborný panel 2 své vyjádření ke </w:t>
      </w:r>
      <w:r w:rsidR="00D54B6F" w:rsidRPr="00C24D02">
        <w:rPr>
          <w:rFonts w:asciiTheme="minorHAnsi" w:hAnsiTheme="minorHAnsi" w:cstheme="minorHAnsi"/>
          <w:sz w:val="22"/>
          <w:szCs w:val="22"/>
        </w:rPr>
        <w:t>36</w:t>
      </w:r>
      <w:r w:rsidRPr="00C24D02">
        <w:rPr>
          <w:rFonts w:asciiTheme="minorHAnsi" w:hAnsiTheme="minorHAnsi" w:cstheme="minorHAnsi"/>
          <w:sz w:val="22"/>
          <w:szCs w:val="22"/>
        </w:rPr>
        <w:t xml:space="preserve"> připomínkám od 1</w:t>
      </w:r>
      <w:r w:rsidR="00D54B6F" w:rsidRPr="00C24D02">
        <w:rPr>
          <w:rFonts w:asciiTheme="minorHAnsi" w:hAnsiTheme="minorHAnsi" w:cstheme="minorHAnsi"/>
          <w:sz w:val="22"/>
          <w:szCs w:val="22"/>
        </w:rPr>
        <w:t>3</w:t>
      </w:r>
      <w:r w:rsidRPr="00C24D02">
        <w:rPr>
          <w:rFonts w:asciiTheme="minorHAnsi" w:hAnsiTheme="minorHAnsi" w:cstheme="minorHAnsi"/>
          <w:sz w:val="22"/>
          <w:szCs w:val="22"/>
        </w:rPr>
        <w:t xml:space="preserve"> výzkumných organizací </w:t>
      </w:r>
      <w:r w:rsidRPr="00C24D02">
        <w:rPr>
          <w:rFonts w:asciiTheme="minorHAnsi" w:hAnsiTheme="minorHAnsi" w:cstheme="minorHAnsi"/>
          <w:i/>
          <w:iCs/>
          <w:sz w:val="22"/>
          <w:szCs w:val="22"/>
        </w:rPr>
        <w:t>(</w:t>
      </w:r>
      <w:r w:rsidR="004B2E5B" w:rsidRPr="00C24D02">
        <w:rPr>
          <w:rFonts w:asciiTheme="minorHAnsi" w:hAnsiTheme="minorHAnsi" w:cstheme="minorHAnsi"/>
          <w:i/>
          <w:iCs/>
          <w:sz w:val="22"/>
          <w:szCs w:val="22"/>
        </w:rPr>
        <w:t xml:space="preserve">Centrum výzkumu Řež; Český metrologický institut; Česká zemědělská univerzita; Materiálový a metalurgický výzkum; </w:t>
      </w:r>
      <w:r w:rsidR="002B59E7" w:rsidRPr="00C24D02">
        <w:rPr>
          <w:rFonts w:asciiTheme="minorHAnsi" w:hAnsiTheme="minorHAnsi" w:cstheme="minorHAnsi"/>
          <w:i/>
          <w:iCs/>
          <w:sz w:val="22"/>
          <w:szCs w:val="22"/>
        </w:rPr>
        <w:t xml:space="preserve">SVÚM, a.s.; </w:t>
      </w:r>
      <w:r w:rsidR="00D54B6F" w:rsidRPr="00C24D02">
        <w:rPr>
          <w:rFonts w:asciiTheme="minorHAnsi" w:hAnsiTheme="minorHAnsi" w:cstheme="minorHAnsi"/>
          <w:i/>
          <w:iCs/>
          <w:sz w:val="22"/>
          <w:szCs w:val="22"/>
        </w:rPr>
        <w:t>Technická univerzita v Liberci</w:t>
      </w:r>
      <w:r w:rsidR="004B2E5B" w:rsidRPr="00C24D02">
        <w:rPr>
          <w:rFonts w:asciiTheme="minorHAnsi" w:hAnsiTheme="minorHAnsi" w:cstheme="minorHAnsi"/>
          <w:i/>
          <w:iCs/>
          <w:sz w:val="22"/>
          <w:szCs w:val="22"/>
        </w:rPr>
        <w:t xml:space="preserve">; Ústav fotoniky a elektroniky AV ČR; Ústav fyziky plazmatu AV ČR; </w:t>
      </w:r>
      <w:r w:rsidR="00D54B6F" w:rsidRPr="00C24D02">
        <w:rPr>
          <w:rFonts w:asciiTheme="minorHAnsi" w:hAnsiTheme="minorHAnsi" w:cstheme="minorHAnsi"/>
          <w:i/>
          <w:iCs/>
          <w:sz w:val="22"/>
          <w:szCs w:val="22"/>
        </w:rPr>
        <w:t>Ústav termomechaniky AV ČR</w:t>
      </w:r>
      <w:r w:rsidR="004B2E5B" w:rsidRPr="00C24D02">
        <w:rPr>
          <w:rFonts w:asciiTheme="minorHAnsi" w:hAnsiTheme="minorHAnsi" w:cstheme="minorHAnsi"/>
          <w:i/>
          <w:iCs/>
          <w:sz w:val="22"/>
          <w:szCs w:val="22"/>
        </w:rPr>
        <w:t xml:space="preserve">; </w:t>
      </w:r>
      <w:r w:rsidR="00D54B6F" w:rsidRPr="00C24D02">
        <w:rPr>
          <w:rFonts w:asciiTheme="minorHAnsi" w:hAnsiTheme="minorHAnsi" w:cstheme="minorHAnsi"/>
          <w:i/>
          <w:iCs/>
          <w:sz w:val="22"/>
          <w:szCs w:val="22"/>
        </w:rPr>
        <w:t>Vysoká škola Báňská – Technická univerzita Ostrava</w:t>
      </w:r>
      <w:r w:rsidR="004B2E5B" w:rsidRPr="00C24D02">
        <w:rPr>
          <w:rFonts w:asciiTheme="minorHAnsi" w:hAnsiTheme="minorHAnsi" w:cstheme="minorHAnsi"/>
          <w:i/>
          <w:iCs/>
          <w:sz w:val="22"/>
          <w:szCs w:val="22"/>
        </w:rPr>
        <w:t xml:space="preserve">; </w:t>
      </w:r>
      <w:r w:rsidR="00D54B6F" w:rsidRPr="00C24D02">
        <w:rPr>
          <w:rFonts w:asciiTheme="minorHAnsi" w:hAnsiTheme="minorHAnsi" w:cstheme="minorHAnsi"/>
          <w:i/>
          <w:iCs/>
          <w:sz w:val="22"/>
          <w:szCs w:val="22"/>
        </w:rPr>
        <w:t>Vysoké učení technické</w:t>
      </w:r>
      <w:r w:rsidR="00F54025" w:rsidRPr="00C24D02">
        <w:rPr>
          <w:rFonts w:asciiTheme="minorHAnsi" w:hAnsiTheme="minorHAnsi" w:cstheme="minorHAnsi"/>
          <w:i/>
          <w:iCs/>
          <w:sz w:val="22"/>
          <w:szCs w:val="22"/>
        </w:rPr>
        <w:t xml:space="preserve"> v Brně</w:t>
      </w:r>
      <w:r w:rsidR="004B2E5B" w:rsidRPr="00C24D02">
        <w:rPr>
          <w:rFonts w:asciiTheme="minorHAnsi" w:hAnsiTheme="minorHAnsi" w:cstheme="minorHAnsi"/>
          <w:i/>
          <w:iCs/>
          <w:sz w:val="22"/>
          <w:szCs w:val="22"/>
        </w:rPr>
        <w:t xml:space="preserve">; VÚTS; </w:t>
      </w:r>
      <w:r w:rsidR="00D54B6F" w:rsidRPr="00C24D02">
        <w:rPr>
          <w:rFonts w:asciiTheme="minorHAnsi" w:hAnsiTheme="minorHAnsi" w:cstheme="minorHAnsi"/>
          <w:i/>
          <w:iCs/>
          <w:sz w:val="22"/>
          <w:szCs w:val="22"/>
        </w:rPr>
        <w:t>Západočeská univerzita)</w:t>
      </w:r>
    </w:p>
    <w:p w14:paraId="34B7BBF3" w14:textId="0A266D8F" w:rsidR="00D65CC8" w:rsidRPr="00C24D02" w:rsidRDefault="00D65CC8" w:rsidP="00D65CC8">
      <w:pPr>
        <w:pStyle w:val="Odstavecseseznamem"/>
        <w:numPr>
          <w:ilvl w:val="0"/>
          <w:numId w:val="2"/>
        </w:numPr>
        <w:spacing w:after="144" w:line="360" w:lineRule="auto"/>
        <w:contextualSpacing w:val="0"/>
        <w:jc w:val="both"/>
        <w:rPr>
          <w:rFonts w:asciiTheme="minorHAnsi" w:hAnsiTheme="minorHAnsi" w:cstheme="minorHAnsi"/>
          <w:sz w:val="22"/>
          <w:szCs w:val="22"/>
        </w:rPr>
      </w:pPr>
      <w:r w:rsidRPr="00C24D02">
        <w:rPr>
          <w:rFonts w:asciiTheme="minorHAnsi" w:hAnsiTheme="minorHAnsi" w:cstheme="minorHAnsi"/>
          <w:sz w:val="22"/>
          <w:szCs w:val="22"/>
        </w:rPr>
        <w:t xml:space="preserve">Odborný panel 4. Agricultural and Veterinary Sciences zpracoval vyjádření ke </w:t>
      </w:r>
      <w:r w:rsidR="00A320E0" w:rsidRPr="00C24D02">
        <w:rPr>
          <w:rFonts w:asciiTheme="minorHAnsi" w:hAnsiTheme="minorHAnsi" w:cstheme="minorHAnsi"/>
          <w:sz w:val="22"/>
          <w:szCs w:val="22"/>
        </w:rPr>
        <w:t>5</w:t>
      </w:r>
      <w:r w:rsidRPr="00C24D02">
        <w:rPr>
          <w:rFonts w:asciiTheme="minorHAnsi" w:hAnsiTheme="minorHAnsi" w:cstheme="minorHAnsi"/>
          <w:sz w:val="22"/>
          <w:szCs w:val="22"/>
        </w:rPr>
        <w:t xml:space="preserve"> námitkám pro </w:t>
      </w:r>
      <w:r w:rsidR="00A320E0" w:rsidRPr="00C24D02">
        <w:rPr>
          <w:rFonts w:asciiTheme="minorHAnsi" w:hAnsiTheme="minorHAnsi" w:cstheme="minorHAnsi"/>
          <w:sz w:val="22"/>
          <w:szCs w:val="22"/>
        </w:rPr>
        <w:t>3</w:t>
      </w:r>
      <w:r w:rsidRPr="00C24D02">
        <w:rPr>
          <w:rFonts w:asciiTheme="minorHAnsi" w:hAnsiTheme="minorHAnsi" w:cstheme="minorHAnsi"/>
          <w:sz w:val="22"/>
          <w:szCs w:val="22"/>
        </w:rPr>
        <w:t xml:space="preserve"> výzkumné organizace (</w:t>
      </w:r>
      <w:r w:rsidR="00A320E0" w:rsidRPr="00C24D02">
        <w:rPr>
          <w:rFonts w:asciiTheme="minorHAnsi" w:hAnsiTheme="minorHAnsi" w:cstheme="minorHAnsi"/>
          <w:i/>
          <w:iCs/>
          <w:sz w:val="22"/>
          <w:szCs w:val="22"/>
        </w:rPr>
        <w:t>Česká zemědělská univerzita; Mendlova univerzita ; Ústav výzkumu globální změny AV ČR</w:t>
      </w:r>
      <w:r w:rsidRPr="00C24D02">
        <w:rPr>
          <w:rFonts w:asciiTheme="minorHAnsi" w:hAnsiTheme="minorHAnsi" w:cstheme="minorHAnsi"/>
          <w:sz w:val="22"/>
          <w:szCs w:val="22"/>
        </w:rPr>
        <w:t>);</w:t>
      </w:r>
    </w:p>
    <w:p w14:paraId="07B2233C" w14:textId="6C15FC99" w:rsidR="00D65CC8" w:rsidRPr="00C24D02" w:rsidRDefault="00D65CC8" w:rsidP="00D65CC8">
      <w:pPr>
        <w:pStyle w:val="Odstavecseseznamem"/>
        <w:numPr>
          <w:ilvl w:val="0"/>
          <w:numId w:val="2"/>
        </w:numPr>
        <w:spacing w:after="144" w:line="360" w:lineRule="auto"/>
        <w:contextualSpacing w:val="0"/>
        <w:jc w:val="both"/>
        <w:rPr>
          <w:rFonts w:asciiTheme="minorHAnsi" w:hAnsiTheme="minorHAnsi" w:cstheme="minorHAnsi"/>
          <w:sz w:val="22"/>
          <w:szCs w:val="22"/>
        </w:rPr>
      </w:pPr>
      <w:r w:rsidRPr="00C24D02">
        <w:rPr>
          <w:rFonts w:asciiTheme="minorHAnsi" w:hAnsiTheme="minorHAnsi" w:cstheme="minorHAnsi"/>
          <w:sz w:val="22"/>
          <w:szCs w:val="22"/>
        </w:rPr>
        <w:t xml:space="preserve">Odborný panel 5. Social Sciences zpracoval vyjádření k </w:t>
      </w:r>
      <w:r w:rsidR="00A320E0" w:rsidRPr="00C24D02">
        <w:rPr>
          <w:rFonts w:asciiTheme="minorHAnsi" w:hAnsiTheme="minorHAnsi" w:cstheme="minorHAnsi"/>
          <w:sz w:val="22"/>
          <w:szCs w:val="22"/>
        </w:rPr>
        <w:t>12</w:t>
      </w:r>
      <w:r w:rsidRPr="00C24D02">
        <w:rPr>
          <w:rFonts w:asciiTheme="minorHAnsi" w:hAnsiTheme="minorHAnsi" w:cstheme="minorHAnsi"/>
          <w:sz w:val="22"/>
          <w:szCs w:val="22"/>
        </w:rPr>
        <w:t xml:space="preserve"> námitkám pro </w:t>
      </w:r>
      <w:r w:rsidR="00A320E0" w:rsidRPr="00C24D02">
        <w:rPr>
          <w:rFonts w:asciiTheme="minorHAnsi" w:hAnsiTheme="minorHAnsi" w:cstheme="minorHAnsi"/>
          <w:sz w:val="22"/>
          <w:szCs w:val="22"/>
        </w:rPr>
        <w:t>7</w:t>
      </w:r>
      <w:r w:rsidRPr="00C24D02">
        <w:rPr>
          <w:rFonts w:asciiTheme="minorHAnsi" w:hAnsiTheme="minorHAnsi" w:cstheme="minorHAnsi"/>
          <w:sz w:val="22"/>
          <w:szCs w:val="22"/>
        </w:rPr>
        <w:t> výzkumných organizací (</w:t>
      </w:r>
      <w:r w:rsidR="00A320E0" w:rsidRPr="00C24D02">
        <w:rPr>
          <w:rFonts w:asciiTheme="minorHAnsi" w:hAnsiTheme="minorHAnsi" w:cstheme="minorHAnsi"/>
          <w:i/>
          <w:iCs/>
          <w:sz w:val="22"/>
          <w:szCs w:val="22"/>
        </w:rPr>
        <w:t>Masarykova univerzita, Nemocnice na Homolce; Policejní akademie; Technická univerzita v Liberci; Univerzita Karlova</w:t>
      </w:r>
      <w:r w:rsidR="002B59E7" w:rsidRPr="00C24D02">
        <w:rPr>
          <w:rFonts w:asciiTheme="minorHAnsi" w:hAnsiTheme="minorHAnsi" w:cstheme="minorHAnsi"/>
          <w:i/>
          <w:iCs/>
          <w:sz w:val="22"/>
          <w:szCs w:val="22"/>
        </w:rPr>
        <w:t xml:space="preserve"> v Praze</w:t>
      </w:r>
      <w:r w:rsidR="00A320E0" w:rsidRPr="00C24D02">
        <w:rPr>
          <w:rFonts w:asciiTheme="minorHAnsi" w:hAnsiTheme="minorHAnsi" w:cstheme="minorHAnsi"/>
          <w:i/>
          <w:iCs/>
          <w:sz w:val="22"/>
          <w:szCs w:val="22"/>
        </w:rPr>
        <w:t>, Univerzita Palackého v Olomouci; Vysoká škola finanční a správní)</w:t>
      </w:r>
    </w:p>
    <w:p w14:paraId="57FE72FC" w14:textId="6A7A7D16" w:rsidR="00D65CC8" w:rsidRPr="00C24D02" w:rsidRDefault="00D65CC8" w:rsidP="00D65CC8">
      <w:pPr>
        <w:pStyle w:val="Odstavecseseznamem"/>
        <w:numPr>
          <w:ilvl w:val="0"/>
          <w:numId w:val="2"/>
        </w:numPr>
        <w:spacing w:after="144" w:line="360" w:lineRule="auto"/>
        <w:contextualSpacing w:val="0"/>
        <w:jc w:val="both"/>
        <w:rPr>
          <w:rFonts w:asciiTheme="minorHAnsi" w:hAnsiTheme="minorHAnsi" w:cstheme="minorHAnsi"/>
          <w:sz w:val="22"/>
          <w:szCs w:val="22"/>
        </w:rPr>
      </w:pPr>
      <w:r w:rsidRPr="00C24D02">
        <w:rPr>
          <w:rFonts w:asciiTheme="minorHAnsi" w:hAnsiTheme="minorHAnsi" w:cstheme="minorHAnsi"/>
          <w:sz w:val="22"/>
          <w:szCs w:val="22"/>
        </w:rPr>
        <w:t xml:space="preserve">Odborný panel 6. Humanities and the Arts zpracoval vyjádření k </w:t>
      </w:r>
      <w:r w:rsidR="00A320E0" w:rsidRPr="00C24D02">
        <w:rPr>
          <w:rFonts w:asciiTheme="minorHAnsi" w:hAnsiTheme="minorHAnsi" w:cstheme="minorHAnsi"/>
          <w:sz w:val="22"/>
          <w:szCs w:val="22"/>
        </w:rPr>
        <w:t>14</w:t>
      </w:r>
      <w:r w:rsidRPr="00C24D02">
        <w:rPr>
          <w:rFonts w:asciiTheme="minorHAnsi" w:hAnsiTheme="minorHAnsi" w:cstheme="minorHAnsi"/>
          <w:sz w:val="22"/>
          <w:szCs w:val="22"/>
        </w:rPr>
        <w:t xml:space="preserve"> námitkám pro</w:t>
      </w:r>
      <w:r w:rsidR="00A320E0" w:rsidRPr="00C24D02">
        <w:rPr>
          <w:rFonts w:asciiTheme="minorHAnsi" w:hAnsiTheme="minorHAnsi" w:cstheme="minorHAnsi"/>
          <w:sz w:val="22"/>
          <w:szCs w:val="22"/>
        </w:rPr>
        <w:t xml:space="preserve"> 9</w:t>
      </w:r>
      <w:r w:rsidRPr="00C24D02">
        <w:rPr>
          <w:rFonts w:asciiTheme="minorHAnsi" w:hAnsiTheme="minorHAnsi" w:cstheme="minorHAnsi"/>
          <w:sz w:val="22"/>
          <w:szCs w:val="22"/>
        </w:rPr>
        <w:t> výzkumných institucí (</w:t>
      </w:r>
      <w:r w:rsidR="00A320E0" w:rsidRPr="00C24D02">
        <w:rPr>
          <w:rFonts w:asciiTheme="minorHAnsi" w:hAnsiTheme="minorHAnsi" w:cstheme="minorHAnsi"/>
          <w:sz w:val="22"/>
          <w:szCs w:val="22"/>
        </w:rPr>
        <w:t xml:space="preserve">Historický ústav AV ČR; </w:t>
      </w:r>
      <w:r w:rsidR="00A320E0" w:rsidRPr="00C24D02">
        <w:rPr>
          <w:rFonts w:asciiTheme="minorHAnsi" w:hAnsiTheme="minorHAnsi" w:cstheme="minorHAnsi"/>
          <w:i/>
          <w:iCs/>
          <w:sz w:val="22"/>
          <w:szCs w:val="22"/>
        </w:rPr>
        <w:t>Masarykova univerzita; Národní knihovna; Univerzita Pardubice; Univerzita Palackého v Olomouci; Ústav pro českou literaturu AV ČR, v. v. i.; Ústav pro jazyk český AV ČR</w:t>
      </w:r>
      <w:r w:rsidR="00A320E0" w:rsidRPr="00C24D02">
        <w:rPr>
          <w:rFonts w:asciiTheme="minorHAnsi" w:hAnsiTheme="minorHAnsi" w:cstheme="minorHAnsi"/>
          <w:sz w:val="22"/>
          <w:szCs w:val="22"/>
        </w:rPr>
        <w:t xml:space="preserve">; </w:t>
      </w:r>
      <w:r w:rsidR="00A320E0" w:rsidRPr="00C24D02">
        <w:rPr>
          <w:rFonts w:asciiTheme="minorHAnsi" w:hAnsiTheme="minorHAnsi" w:cstheme="minorHAnsi"/>
          <w:i/>
          <w:iCs/>
          <w:sz w:val="22"/>
          <w:szCs w:val="22"/>
        </w:rPr>
        <w:t>Vysoké učení technické; Západočeská univerzita</w:t>
      </w:r>
      <w:r w:rsidRPr="00C24D02">
        <w:rPr>
          <w:rFonts w:asciiTheme="minorHAnsi" w:hAnsiTheme="minorHAnsi" w:cstheme="minorHAnsi"/>
          <w:sz w:val="22"/>
          <w:szCs w:val="22"/>
        </w:rPr>
        <w:t>).</w:t>
      </w:r>
    </w:p>
    <w:p w14:paraId="578E249B" w14:textId="0043B5B8" w:rsidR="00D65CC8" w:rsidRPr="00C24D02" w:rsidRDefault="00D65CC8" w:rsidP="00D65CC8">
      <w:pPr>
        <w:spacing w:after="144" w:line="360" w:lineRule="auto"/>
        <w:ind w:firstLine="360"/>
        <w:jc w:val="both"/>
        <w:rPr>
          <w:rFonts w:asciiTheme="minorHAnsi" w:hAnsiTheme="minorHAnsi" w:cstheme="minorHAnsi"/>
          <w:sz w:val="22"/>
          <w:szCs w:val="22"/>
        </w:rPr>
      </w:pPr>
      <w:r w:rsidRPr="00C24D02">
        <w:rPr>
          <w:rFonts w:asciiTheme="minorHAnsi" w:hAnsiTheme="minorHAnsi" w:cstheme="minorHAnsi"/>
          <w:sz w:val="22"/>
          <w:szCs w:val="22"/>
        </w:rPr>
        <w:t>Návrh vypořádání námitek bude předložen Radě na 4</w:t>
      </w:r>
      <w:r w:rsidR="00A86872" w:rsidRPr="00C24D02">
        <w:rPr>
          <w:rFonts w:asciiTheme="minorHAnsi" w:hAnsiTheme="minorHAnsi" w:cstheme="minorHAnsi"/>
          <w:sz w:val="22"/>
          <w:szCs w:val="22"/>
        </w:rPr>
        <w:t>19</w:t>
      </w:r>
      <w:r w:rsidRPr="00C24D02">
        <w:rPr>
          <w:rFonts w:asciiTheme="minorHAnsi" w:hAnsiTheme="minorHAnsi" w:cstheme="minorHAnsi"/>
          <w:sz w:val="22"/>
          <w:szCs w:val="22"/>
        </w:rPr>
        <w:t>. zasedání, které se koná dne </w:t>
      </w:r>
      <w:r w:rsidR="00985C28">
        <w:rPr>
          <w:rFonts w:asciiTheme="minorHAnsi" w:hAnsiTheme="minorHAnsi" w:cstheme="minorHAnsi"/>
          <w:sz w:val="22"/>
          <w:szCs w:val="22"/>
        </w:rPr>
        <w:t>2</w:t>
      </w:r>
      <w:r w:rsidR="00A86872" w:rsidRPr="00C24D02">
        <w:rPr>
          <w:rFonts w:asciiTheme="minorHAnsi" w:hAnsiTheme="minorHAnsi" w:cstheme="minorHAnsi"/>
          <w:sz w:val="22"/>
          <w:szCs w:val="22"/>
        </w:rPr>
        <w:t>7</w:t>
      </w:r>
      <w:r w:rsidRPr="00C24D02">
        <w:rPr>
          <w:rFonts w:asciiTheme="minorHAnsi" w:hAnsiTheme="minorHAnsi" w:cstheme="minorHAnsi"/>
          <w:sz w:val="22"/>
          <w:szCs w:val="22"/>
        </w:rPr>
        <w:t>. </w:t>
      </w:r>
      <w:r w:rsidR="00A86872" w:rsidRPr="00C24D02">
        <w:rPr>
          <w:rFonts w:asciiTheme="minorHAnsi" w:hAnsiTheme="minorHAnsi" w:cstheme="minorHAnsi"/>
          <w:sz w:val="22"/>
          <w:szCs w:val="22"/>
        </w:rPr>
        <w:t xml:space="preserve">února </w:t>
      </w:r>
      <w:r w:rsidRPr="00C24D02">
        <w:rPr>
          <w:rFonts w:asciiTheme="minorHAnsi" w:hAnsiTheme="minorHAnsi" w:cstheme="minorHAnsi"/>
          <w:sz w:val="22"/>
          <w:szCs w:val="22"/>
        </w:rPr>
        <w:t>202</w:t>
      </w:r>
      <w:r w:rsidR="00A86872" w:rsidRPr="00C24D02">
        <w:rPr>
          <w:rFonts w:asciiTheme="minorHAnsi" w:hAnsiTheme="minorHAnsi" w:cstheme="minorHAnsi"/>
          <w:sz w:val="22"/>
          <w:szCs w:val="22"/>
        </w:rPr>
        <w:t>6</w:t>
      </w:r>
      <w:r w:rsidRPr="00C24D02">
        <w:rPr>
          <w:rFonts w:asciiTheme="minorHAnsi" w:hAnsiTheme="minorHAnsi" w:cstheme="minorHAnsi"/>
          <w:sz w:val="22"/>
          <w:szCs w:val="22"/>
        </w:rPr>
        <w:t xml:space="preserve">. </w:t>
      </w:r>
    </w:p>
    <w:p w14:paraId="031F4034" w14:textId="19E296DD" w:rsidR="00D65CC8" w:rsidRPr="00C24D02" w:rsidRDefault="00D65CC8" w:rsidP="00A86872">
      <w:pPr>
        <w:spacing w:after="144" w:line="360" w:lineRule="auto"/>
        <w:ind w:firstLine="360"/>
        <w:jc w:val="both"/>
        <w:rPr>
          <w:rFonts w:asciiTheme="minorHAnsi" w:hAnsiTheme="minorHAnsi" w:cstheme="minorHAnsi"/>
          <w:sz w:val="22"/>
          <w:szCs w:val="22"/>
        </w:rPr>
      </w:pPr>
      <w:r w:rsidRPr="00C24D02">
        <w:rPr>
          <w:rFonts w:asciiTheme="minorHAnsi" w:hAnsiTheme="minorHAnsi" w:cstheme="minorHAnsi"/>
          <w:sz w:val="22"/>
          <w:szCs w:val="22"/>
        </w:rPr>
        <w:t>Z</w:t>
      </w:r>
      <w:r w:rsidR="008800A9">
        <w:rPr>
          <w:rFonts w:asciiTheme="minorHAnsi" w:hAnsiTheme="minorHAnsi" w:cstheme="minorHAnsi"/>
          <w:sz w:val="22"/>
          <w:szCs w:val="22"/>
        </w:rPr>
        <w:t>e</w:t>
      </w:r>
      <w:r w:rsidRPr="00C24D02">
        <w:rPr>
          <w:rFonts w:asciiTheme="minorHAnsi" w:hAnsiTheme="minorHAnsi" w:cstheme="minorHAnsi"/>
          <w:sz w:val="22"/>
          <w:szCs w:val="22"/>
        </w:rPr>
        <w:t xml:space="preserve"> </w:t>
      </w:r>
      <w:r w:rsidR="00E444AB" w:rsidRPr="00C24D02">
        <w:rPr>
          <w:rFonts w:asciiTheme="minorHAnsi" w:hAnsiTheme="minorHAnsi" w:cstheme="minorHAnsi"/>
          <w:sz w:val="22"/>
          <w:szCs w:val="22"/>
        </w:rPr>
        <w:t>130</w:t>
      </w:r>
      <w:r w:rsidRPr="00C24D02">
        <w:rPr>
          <w:rFonts w:asciiTheme="minorHAnsi" w:hAnsiTheme="minorHAnsi" w:cstheme="minorHAnsi"/>
          <w:sz w:val="22"/>
          <w:szCs w:val="22"/>
        </w:rPr>
        <w:t xml:space="preserve"> řádně vypořádaných námitek se navrhuje 2</w:t>
      </w:r>
      <w:r w:rsidR="00A86872" w:rsidRPr="00C24D02">
        <w:rPr>
          <w:rFonts w:asciiTheme="minorHAnsi" w:hAnsiTheme="minorHAnsi" w:cstheme="minorHAnsi"/>
          <w:sz w:val="22"/>
          <w:szCs w:val="22"/>
        </w:rPr>
        <w:t>3</w:t>
      </w:r>
      <w:r w:rsidRPr="00C24D02">
        <w:rPr>
          <w:rFonts w:asciiTheme="minorHAnsi" w:hAnsiTheme="minorHAnsi" w:cstheme="minorHAnsi"/>
          <w:sz w:val="22"/>
          <w:szCs w:val="22"/>
        </w:rPr>
        <w:t xml:space="preserve"> vyhovět</w:t>
      </w:r>
      <w:r w:rsidR="00A86872" w:rsidRPr="00C24D02">
        <w:rPr>
          <w:rFonts w:asciiTheme="minorHAnsi" w:hAnsiTheme="minorHAnsi" w:cstheme="minorHAnsi"/>
          <w:sz w:val="22"/>
          <w:szCs w:val="22"/>
        </w:rPr>
        <w:t xml:space="preserve"> a upravit stupeň hodnocení, </w:t>
      </w:r>
      <w:r w:rsidR="008800A9">
        <w:rPr>
          <w:rFonts w:asciiTheme="minorHAnsi" w:hAnsiTheme="minorHAnsi" w:cstheme="minorHAnsi"/>
          <w:sz w:val="22"/>
          <w:szCs w:val="22"/>
        </w:rPr>
        <w:t>2</w:t>
      </w:r>
      <w:r w:rsidR="00A86872" w:rsidRPr="00C24D02">
        <w:rPr>
          <w:rFonts w:asciiTheme="minorHAnsi" w:hAnsiTheme="minorHAnsi" w:cstheme="minorHAnsi"/>
          <w:sz w:val="22"/>
          <w:szCs w:val="22"/>
        </w:rPr>
        <w:t xml:space="preserve">3 námitkám vyhovět částečně a vrátit je do hodnocení. U </w:t>
      </w:r>
      <w:r w:rsidR="008800A9">
        <w:rPr>
          <w:rFonts w:asciiTheme="minorHAnsi" w:hAnsiTheme="minorHAnsi" w:cstheme="minorHAnsi"/>
          <w:sz w:val="22"/>
          <w:szCs w:val="22"/>
        </w:rPr>
        <w:t>8</w:t>
      </w:r>
      <w:r w:rsidRPr="00C24D02">
        <w:rPr>
          <w:rFonts w:asciiTheme="minorHAnsi" w:hAnsiTheme="minorHAnsi" w:cstheme="minorHAnsi"/>
          <w:sz w:val="22"/>
          <w:szCs w:val="22"/>
        </w:rPr>
        <w:t>4 námitek se navrhuje nevyhovět</w:t>
      </w:r>
      <w:r w:rsidR="00A86872" w:rsidRPr="00C24D02">
        <w:rPr>
          <w:rFonts w:asciiTheme="minorHAnsi" w:hAnsiTheme="minorHAnsi" w:cstheme="minorHAnsi"/>
          <w:sz w:val="22"/>
          <w:szCs w:val="22"/>
        </w:rPr>
        <w:t>.</w:t>
      </w:r>
    </w:p>
    <w:p w14:paraId="60EEC1F6" w14:textId="77777777" w:rsidR="00D65CC8" w:rsidRPr="00C24D02" w:rsidRDefault="00D65CC8" w:rsidP="00D65CC8">
      <w:pPr>
        <w:spacing w:after="144" w:line="360" w:lineRule="auto"/>
        <w:ind w:firstLine="360"/>
        <w:jc w:val="both"/>
        <w:rPr>
          <w:rFonts w:asciiTheme="minorHAnsi" w:hAnsiTheme="minorHAnsi" w:cstheme="minorHAnsi"/>
          <w:b/>
          <w:sz w:val="22"/>
          <w:szCs w:val="22"/>
        </w:rPr>
      </w:pPr>
    </w:p>
    <w:p w14:paraId="4293E79D" w14:textId="77777777" w:rsidR="00D65CC8" w:rsidRPr="00C24D02" w:rsidRDefault="00D65CC8" w:rsidP="00D65CC8">
      <w:pPr>
        <w:ind w:firstLine="360"/>
        <w:contextualSpacing/>
        <w:jc w:val="both"/>
        <w:rPr>
          <w:rFonts w:asciiTheme="minorHAnsi" w:hAnsiTheme="minorHAnsi" w:cstheme="minorHAnsi"/>
          <w:b/>
          <w:sz w:val="22"/>
          <w:szCs w:val="22"/>
        </w:rPr>
      </w:pPr>
      <w:r w:rsidRPr="00C24D02">
        <w:rPr>
          <w:rFonts w:asciiTheme="minorHAnsi" w:hAnsiTheme="minorHAnsi" w:cstheme="minorHAnsi"/>
          <w:b/>
          <w:sz w:val="22"/>
          <w:szCs w:val="22"/>
        </w:rPr>
        <w:t>Přehled počtu námitek podle jednotlivých VO</w:t>
      </w:r>
    </w:p>
    <w:p w14:paraId="3E5F82F0" w14:textId="77777777" w:rsidR="00246F41" w:rsidRPr="00C24D02" w:rsidRDefault="00246F41" w:rsidP="00D65CC8">
      <w:pPr>
        <w:ind w:firstLine="360"/>
        <w:contextualSpacing/>
        <w:jc w:val="both"/>
        <w:rPr>
          <w:rFonts w:asciiTheme="minorHAnsi" w:hAnsiTheme="minorHAnsi" w:cstheme="minorHAnsi"/>
          <w:b/>
          <w:sz w:val="22"/>
          <w:szCs w:val="22"/>
          <w:highlight w:val="yellow"/>
        </w:rPr>
      </w:pPr>
    </w:p>
    <w:tbl>
      <w:tblPr>
        <w:tblW w:w="9200" w:type="dxa"/>
        <w:tblCellMar>
          <w:left w:w="70" w:type="dxa"/>
          <w:right w:w="70" w:type="dxa"/>
        </w:tblCellMar>
        <w:tblLook w:val="04A0" w:firstRow="1" w:lastRow="0" w:firstColumn="1" w:lastColumn="0" w:noHBand="0" w:noVBand="1"/>
      </w:tblPr>
      <w:tblGrid>
        <w:gridCol w:w="2040"/>
        <w:gridCol w:w="4460"/>
        <w:gridCol w:w="1000"/>
        <w:gridCol w:w="1700"/>
      </w:tblGrid>
      <w:tr w:rsidR="00A070B1" w:rsidRPr="00C24D02" w14:paraId="64DD6940" w14:textId="77777777" w:rsidTr="00602B69">
        <w:trPr>
          <w:trHeight w:val="765"/>
        </w:trPr>
        <w:tc>
          <w:tcPr>
            <w:tcW w:w="2040" w:type="dxa"/>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3AA80378"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 xml:space="preserve">Poskytovatel </w:t>
            </w:r>
          </w:p>
        </w:tc>
        <w:tc>
          <w:tcPr>
            <w:tcW w:w="4460" w:type="dxa"/>
            <w:tcBorders>
              <w:top w:val="single" w:sz="4" w:space="0" w:color="auto"/>
              <w:left w:val="nil"/>
              <w:bottom w:val="single" w:sz="4" w:space="0" w:color="auto"/>
              <w:right w:val="single" w:sz="4" w:space="0" w:color="auto"/>
            </w:tcBorders>
            <w:shd w:val="clear" w:color="000000" w:fill="9BC2E6"/>
            <w:noWrap/>
            <w:vAlign w:val="center"/>
            <w:hideMark/>
          </w:tcPr>
          <w:p w14:paraId="5A99E949" w14:textId="77777777" w:rsidR="00A070B1" w:rsidRPr="00C24D02" w:rsidRDefault="00A070B1" w:rsidP="00A070B1">
            <w:pPr>
              <w:suppressAutoHyphens w:val="0"/>
              <w:jc w:val="center"/>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VO</w:t>
            </w:r>
          </w:p>
        </w:tc>
        <w:tc>
          <w:tcPr>
            <w:tcW w:w="1000" w:type="dxa"/>
            <w:tcBorders>
              <w:top w:val="single" w:sz="4" w:space="0" w:color="auto"/>
              <w:left w:val="nil"/>
              <w:bottom w:val="single" w:sz="4" w:space="0" w:color="auto"/>
              <w:right w:val="single" w:sz="4" w:space="0" w:color="auto"/>
            </w:tcBorders>
            <w:shd w:val="clear" w:color="000000" w:fill="9BC2E6"/>
            <w:vAlign w:val="center"/>
            <w:hideMark/>
          </w:tcPr>
          <w:p w14:paraId="5D97756D" w14:textId="77777777" w:rsidR="00A070B1" w:rsidRPr="00C24D02" w:rsidRDefault="00A070B1" w:rsidP="00A070B1">
            <w:pPr>
              <w:suppressAutoHyphens w:val="0"/>
              <w:jc w:val="center"/>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 xml:space="preserve">Počet námitek </w:t>
            </w:r>
          </w:p>
        </w:tc>
        <w:tc>
          <w:tcPr>
            <w:tcW w:w="1700" w:type="dxa"/>
            <w:tcBorders>
              <w:top w:val="single" w:sz="4" w:space="0" w:color="auto"/>
              <w:left w:val="nil"/>
              <w:bottom w:val="single" w:sz="4" w:space="0" w:color="auto"/>
              <w:right w:val="single" w:sz="4" w:space="0" w:color="auto"/>
            </w:tcBorders>
            <w:shd w:val="clear" w:color="000000" w:fill="9BC2E6"/>
            <w:noWrap/>
            <w:vAlign w:val="center"/>
            <w:hideMark/>
          </w:tcPr>
          <w:p w14:paraId="1680C39F" w14:textId="77777777" w:rsidR="00A070B1" w:rsidRPr="00C24D02" w:rsidRDefault="00A070B1" w:rsidP="00A070B1">
            <w:pPr>
              <w:suppressAutoHyphens w:val="0"/>
              <w:jc w:val="center"/>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OP</w:t>
            </w:r>
          </w:p>
        </w:tc>
      </w:tr>
      <w:tr w:rsidR="00A070B1" w:rsidRPr="00C24D02" w14:paraId="492861B2" w14:textId="77777777" w:rsidTr="00602B69">
        <w:trPr>
          <w:trHeight w:val="420"/>
        </w:trPr>
        <w:tc>
          <w:tcPr>
            <w:tcW w:w="9200" w:type="dxa"/>
            <w:gridSpan w:val="4"/>
            <w:tcBorders>
              <w:top w:val="single" w:sz="4" w:space="0" w:color="auto"/>
              <w:left w:val="single" w:sz="4" w:space="0" w:color="auto"/>
              <w:bottom w:val="single" w:sz="4" w:space="0" w:color="auto"/>
              <w:right w:val="single" w:sz="4" w:space="0" w:color="auto"/>
            </w:tcBorders>
            <w:shd w:val="clear" w:color="000000" w:fill="9BC2E6"/>
            <w:noWrap/>
            <w:vAlign w:val="center"/>
            <w:hideMark/>
          </w:tcPr>
          <w:p w14:paraId="1D1BA8D3" w14:textId="77777777" w:rsidR="00A070B1" w:rsidRPr="00C24D02" w:rsidRDefault="00A070B1" w:rsidP="00A070B1">
            <w:pPr>
              <w:suppressAutoHyphens w:val="0"/>
              <w:jc w:val="center"/>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Modul 1</w:t>
            </w:r>
          </w:p>
        </w:tc>
      </w:tr>
      <w:tr w:rsidR="00A070B1" w:rsidRPr="00C24D02" w14:paraId="6DB0E70D"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2D38C89A"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AV ČR</w:t>
            </w:r>
          </w:p>
        </w:tc>
        <w:tc>
          <w:tcPr>
            <w:tcW w:w="4460" w:type="dxa"/>
            <w:tcBorders>
              <w:top w:val="nil"/>
              <w:left w:val="nil"/>
              <w:bottom w:val="single" w:sz="4" w:space="0" w:color="auto"/>
              <w:right w:val="single" w:sz="4" w:space="0" w:color="auto"/>
            </w:tcBorders>
            <w:shd w:val="clear" w:color="000000" w:fill="DDEBF7"/>
            <w:vAlign w:val="center"/>
            <w:hideMark/>
          </w:tcPr>
          <w:p w14:paraId="767474BD"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Fyziologický ústav</w:t>
            </w:r>
          </w:p>
        </w:tc>
        <w:tc>
          <w:tcPr>
            <w:tcW w:w="1000" w:type="dxa"/>
            <w:tcBorders>
              <w:top w:val="nil"/>
              <w:left w:val="nil"/>
              <w:bottom w:val="single" w:sz="4" w:space="0" w:color="auto"/>
              <w:right w:val="single" w:sz="4" w:space="0" w:color="auto"/>
            </w:tcBorders>
            <w:vAlign w:val="center"/>
            <w:hideMark/>
          </w:tcPr>
          <w:p w14:paraId="6CAF6AB9"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w:t>
            </w:r>
          </w:p>
        </w:tc>
        <w:tc>
          <w:tcPr>
            <w:tcW w:w="1700" w:type="dxa"/>
            <w:tcBorders>
              <w:top w:val="nil"/>
              <w:left w:val="nil"/>
              <w:bottom w:val="single" w:sz="4" w:space="0" w:color="auto"/>
              <w:right w:val="single" w:sz="4" w:space="0" w:color="auto"/>
            </w:tcBorders>
            <w:noWrap/>
            <w:vAlign w:val="center"/>
            <w:hideMark/>
          </w:tcPr>
          <w:p w14:paraId="209E22FC"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w:t>
            </w:r>
          </w:p>
        </w:tc>
      </w:tr>
      <w:tr w:rsidR="00A070B1" w:rsidRPr="00C24D02" w14:paraId="0112B622"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369CBED5"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AV ČR</w:t>
            </w:r>
          </w:p>
        </w:tc>
        <w:tc>
          <w:tcPr>
            <w:tcW w:w="4460" w:type="dxa"/>
            <w:tcBorders>
              <w:top w:val="nil"/>
              <w:left w:val="nil"/>
              <w:bottom w:val="single" w:sz="4" w:space="0" w:color="auto"/>
              <w:right w:val="single" w:sz="4" w:space="0" w:color="auto"/>
            </w:tcBorders>
            <w:shd w:val="clear" w:color="000000" w:fill="DDEBF7"/>
            <w:noWrap/>
            <w:vAlign w:val="center"/>
            <w:hideMark/>
          </w:tcPr>
          <w:p w14:paraId="3651B471"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Ústav termomechaniky AV ČR</w:t>
            </w:r>
          </w:p>
        </w:tc>
        <w:tc>
          <w:tcPr>
            <w:tcW w:w="1000" w:type="dxa"/>
            <w:tcBorders>
              <w:top w:val="nil"/>
              <w:left w:val="nil"/>
              <w:bottom w:val="single" w:sz="4" w:space="0" w:color="auto"/>
              <w:right w:val="single" w:sz="4" w:space="0" w:color="auto"/>
            </w:tcBorders>
            <w:vAlign w:val="center"/>
            <w:hideMark/>
          </w:tcPr>
          <w:p w14:paraId="77841C54"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8</w:t>
            </w:r>
          </w:p>
        </w:tc>
        <w:tc>
          <w:tcPr>
            <w:tcW w:w="1700" w:type="dxa"/>
            <w:tcBorders>
              <w:top w:val="nil"/>
              <w:left w:val="nil"/>
              <w:bottom w:val="single" w:sz="4" w:space="0" w:color="auto"/>
              <w:right w:val="single" w:sz="4" w:space="0" w:color="auto"/>
            </w:tcBorders>
            <w:shd w:val="clear" w:color="000000" w:fill="FFFFFF"/>
            <w:noWrap/>
            <w:vAlign w:val="center"/>
            <w:hideMark/>
          </w:tcPr>
          <w:p w14:paraId="223FB515"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 OP2</w:t>
            </w:r>
          </w:p>
        </w:tc>
      </w:tr>
      <w:tr w:rsidR="00A070B1" w:rsidRPr="00C24D02" w14:paraId="4B957C6E"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45E1DF1D"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AV ČR</w:t>
            </w:r>
          </w:p>
        </w:tc>
        <w:tc>
          <w:tcPr>
            <w:tcW w:w="4460" w:type="dxa"/>
            <w:tcBorders>
              <w:top w:val="nil"/>
              <w:left w:val="nil"/>
              <w:bottom w:val="single" w:sz="4" w:space="0" w:color="auto"/>
              <w:right w:val="single" w:sz="4" w:space="0" w:color="auto"/>
            </w:tcBorders>
            <w:shd w:val="clear" w:color="000000" w:fill="DDEBF7"/>
            <w:vAlign w:val="center"/>
            <w:hideMark/>
          </w:tcPr>
          <w:p w14:paraId="05392E30"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Ústav výzkumu globální změny AV ČR</w:t>
            </w:r>
          </w:p>
        </w:tc>
        <w:tc>
          <w:tcPr>
            <w:tcW w:w="1000" w:type="dxa"/>
            <w:tcBorders>
              <w:top w:val="nil"/>
              <w:left w:val="nil"/>
              <w:bottom w:val="single" w:sz="4" w:space="0" w:color="auto"/>
              <w:right w:val="single" w:sz="4" w:space="0" w:color="auto"/>
            </w:tcBorders>
            <w:vAlign w:val="center"/>
            <w:hideMark/>
          </w:tcPr>
          <w:p w14:paraId="7DAD8D6C"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8</w:t>
            </w:r>
          </w:p>
        </w:tc>
        <w:tc>
          <w:tcPr>
            <w:tcW w:w="1700" w:type="dxa"/>
            <w:tcBorders>
              <w:top w:val="nil"/>
              <w:left w:val="nil"/>
              <w:bottom w:val="single" w:sz="4" w:space="0" w:color="auto"/>
              <w:right w:val="single" w:sz="4" w:space="0" w:color="auto"/>
            </w:tcBorders>
            <w:shd w:val="clear" w:color="000000" w:fill="FFFFFF"/>
            <w:noWrap/>
            <w:vAlign w:val="center"/>
            <w:hideMark/>
          </w:tcPr>
          <w:p w14:paraId="06176BF6"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 OP4</w:t>
            </w:r>
          </w:p>
        </w:tc>
      </w:tr>
      <w:tr w:rsidR="00A070B1" w:rsidRPr="00C24D02" w14:paraId="74C30841"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40D36D6A"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AV ČR</w:t>
            </w:r>
          </w:p>
        </w:tc>
        <w:tc>
          <w:tcPr>
            <w:tcW w:w="4460" w:type="dxa"/>
            <w:tcBorders>
              <w:top w:val="nil"/>
              <w:left w:val="nil"/>
              <w:bottom w:val="single" w:sz="4" w:space="0" w:color="auto"/>
              <w:right w:val="single" w:sz="4" w:space="0" w:color="auto"/>
            </w:tcBorders>
            <w:shd w:val="clear" w:color="000000" w:fill="DDEBF7"/>
            <w:vAlign w:val="center"/>
            <w:hideMark/>
          </w:tcPr>
          <w:p w14:paraId="0A19531A"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Ústav pro českou literaturu AV ČR, v. v. i.</w:t>
            </w:r>
          </w:p>
        </w:tc>
        <w:tc>
          <w:tcPr>
            <w:tcW w:w="1000" w:type="dxa"/>
            <w:tcBorders>
              <w:top w:val="nil"/>
              <w:left w:val="nil"/>
              <w:bottom w:val="single" w:sz="4" w:space="0" w:color="auto"/>
              <w:right w:val="single" w:sz="4" w:space="0" w:color="auto"/>
            </w:tcBorders>
            <w:vAlign w:val="center"/>
            <w:hideMark/>
          </w:tcPr>
          <w:p w14:paraId="0895CCE3"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w:t>
            </w:r>
          </w:p>
        </w:tc>
        <w:tc>
          <w:tcPr>
            <w:tcW w:w="1700" w:type="dxa"/>
            <w:tcBorders>
              <w:top w:val="nil"/>
              <w:left w:val="nil"/>
              <w:bottom w:val="single" w:sz="4" w:space="0" w:color="auto"/>
              <w:right w:val="single" w:sz="4" w:space="0" w:color="auto"/>
            </w:tcBorders>
            <w:shd w:val="clear" w:color="000000" w:fill="FFFFFF"/>
            <w:noWrap/>
            <w:vAlign w:val="center"/>
            <w:hideMark/>
          </w:tcPr>
          <w:p w14:paraId="75E1DC08"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OP6</w:t>
            </w:r>
          </w:p>
        </w:tc>
      </w:tr>
      <w:tr w:rsidR="00A070B1" w:rsidRPr="00C24D02" w14:paraId="3EE1E43D"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79208E6F"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AV ČR</w:t>
            </w:r>
          </w:p>
        </w:tc>
        <w:tc>
          <w:tcPr>
            <w:tcW w:w="4460" w:type="dxa"/>
            <w:tcBorders>
              <w:top w:val="nil"/>
              <w:left w:val="nil"/>
              <w:bottom w:val="single" w:sz="4" w:space="0" w:color="auto"/>
              <w:right w:val="single" w:sz="4" w:space="0" w:color="auto"/>
            </w:tcBorders>
            <w:shd w:val="clear" w:color="000000" w:fill="DDEBF7"/>
            <w:vAlign w:val="center"/>
            <w:hideMark/>
          </w:tcPr>
          <w:p w14:paraId="71053D05"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Historický ústav AV ČR</w:t>
            </w:r>
          </w:p>
        </w:tc>
        <w:tc>
          <w:tcPr>
            <w:tcW w:w="1000" w:type="dxa"/>
            <w:tcBorders>
              <w:top w:val="nil"/>
              <w:left w:val="nil"/>
              <w:bottom w:val="single" w:sz="4" w:space="0" w:color="auto"/>
              <w:right w:val="single" w:sz="4" w:space="0" w:color="auto"/>
            </w:tcBorders>
            <w:vAlign w:val="center"/>
            <w:hideMark/>
          </w:tcPr>
          <w:p w14:paraId="7102DD07"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w:t>
            </w:r>
          </w:p>
        </w:tc>
        <w:tc>
          <w:tcPr>
            <w:tcW w:w="1700" w:type="dxa"/>
            <w:tcBorders>
              <w:top w:val="nil"/>
              <w:left w:val="nil"/>
              <w:bottom w:val="single" w:sz="4" w:space="0" w:color="auto"/>
              <w:right w:val="single" w:sz="4" w:space="0" w:color="auto"/>
            </w:tcBorders>
            <w:shd w:val="clear" w:color="000000" w:fill="FFFFFF"/>
            <w:noWrap/>
            <w:vAlign w:val="center"/>
            <w:hideMark/>
          </w:tcPr>
          <w:p w14:paraId="15E64B42"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OP6</w:t>
            </w:r>
          </w:p>
        </w:tc>
      </w:tr>
      <w:tr w:rsidR="00A070B1" w:rsidRPr="00C24D02" w14:paraId="1C8E0EF2"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7AFDDA03"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lastRenderedPageBreak/>
              <w:t>AV ČR</w:t>
            </w:r>
          </w:p>
        </w:tc>
        <w:tc>
          <w:tcPr>
            <w:tcW w:w="4460" w:type="dxa"/>
            <w:tcBorders>
              <w:top w:val="nil"/>
              <w:left w:val="nil"/>
              <w:bottom w:val="single" w:sz="4" w:space="0" w:color="auto"/>
              <w:right w:val="single" w:sz="4" w:space="0" w:color="auto"/>
            </w:tcBorders>
            <w:shd w:val="clear" w:color="000000" w:fill="DDEBF7"/>
            <w:vAlign w:val="center"/>
            <w:hideMark/>
          </w:tcPr>
          <w:p w14:paraId="77A1ADD5"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Astronomický ústav AV ČR</w:t>
            </w:r>
          </w:p>
        </w:tc>
        <w:tc>
          <w:tcPr>
            <w:tcW w:w="1000" w:type="dxa"/>
            <w:tcBorders>
              <w:top w:val="nil"/>
              <w:left w:val="nil"/>
              <w:bottom w:val="single" w:sz="4" w:space="0" w:color="auto"/>
              <w:right w:val="single" w:sz="4" w:space="0" w:color="auto"/>
            </w:tcBorders>
            <w:vAlign w:val="center"/>
            <w:hideMark/>
          </w:tcPr>
          <w:p w14:paraId="1096B141"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w:t>
            </w:r>
          </w:p>
        </w:tc>
        <w:tc>
          <w:tcPr>
            <w:tcW w:w="1700" w:type="dxa"/>
            <w:tcBorders>
              <w:top w:val="nil"/>
              <w:left w:val="nil"/>
              <w:bottom w:val="single" w:sz="4" w:space="0" w:color="auto"/>
              <w:right w:val="single" w:sz="4" w:space="0" w:color="auto"/>
            </w:tcBorders>
            <w:shd w:val="clear" w:color="000000" w:fill="FFFFFF"/>
            <w:noWrap/>
            <w:vAlign w:val="center"/>
            <w:hideMark/>
          </w:tcPr>
          <w:p w14:paraId="001ABB3F"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w:t>
            </w:r>
          </w:p>
        </w:tc>
      </w:tr>
      <w:tr w:rsidR="00A070B1" w:rsidRPr="00C24D02" w14:paraId="32FFC980"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10E01018"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AV ČR</w:t>
            </w:r>
          </w:p>
        </w:tc>
        <w:tc>
          <w:tcPr>
            <w:tcW w:w="4460" w:type="dxa"/>
            <w:tcBorders>
              <w:top w:val="nil"/>
              <w:left w:val="nil"/>
              <w:bottom w:val="single" w:sz="4" w:space="0" w:color="auto"/>
              <w:right w:val="single" w:sz="4" w:space="0" w:color="auto"/>
            </w:tcBorders>
            <w:shd w:val="clear" w:color="000000" w:fill="DDEBF7"/>
            <w:vAlign w:val="center"/>
            <w:hideMark/>
          </w:tcPr>
          <w:p w14:paraId="7ED610BA"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Biologické centrum AV ČR</w:t>
            </w:r>
          </w:p>
        </w:tc>
        <w:tc>
          <w:tcPr>
            <w:tcW w:w="1000" w:type="dxa"/>
            <w:tcBorders>
              <w:top w:val="nil"/>
              <w:left w:val="nil"/>
              <w:bottom w:val="single" w:sz="4" w:space="0" w:color="auto"/>
              <w:right w:val="single" w:sz="4" w:space="0" w:color="auto"/>
            </w:tcBorders>
            <w:vAlign w:val="center"/>
            <w:hideMark/>
          </w:tcPr>
          <w:p w14:paraId="754CAF9F"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2</w:t>
            </w:r>
          </w:p>
        </w:tc>
        <w:tc>
          <w:tcPr>
            <w:tcW w:w="1700" w:type="dxa"/>
            <w:tcBorders>
              <w:top w:val="nil"/>
              <w:left w:val="nil"/>
              <w:bottom w:val="single" w:sz="4" w:space="0" w:color="auto"/>
              <w:right w:val="single" w:sz="4" w:space="0" w:color="auto"/>
            </w:tcBorders>
            <w:shd w:val="clear" w:color="000000" w:fill="FFFFFF"/>
            <w:noWrap/>
            <w:vAlign w:val="center"/>
            <w:hideMark/>
          </w:tcPr>
          <w:p w14:paraId="19FA50F0"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w:t>
            </w:r>
          </w:p>
        </w:tc>
      </w:tr>
      <w:tr w:rsidR="00A070B1" w:rsidRPr="00C24D02" w14:paraId="69D45BEF"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19E203D3"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AV ČR</w:t>
            </w:r>
          </w:p>
        </w:tc>
        <w:tc>
          <w:tcPr>
            <w:tcW w:w="4460" w:type="dxa"/>
            <w:tcBorders>
              <w:top w:val="nil"/>
              <w:left w:val="nil"/>
              <w:bottom w:val="single" w:sz="4" w:space="0" w:color="auto"/>
              <w:right w:val="single" w:sz="4" w:space="0" w:color="auto"/>
            </w:tcBorders>
            <w:shd w:val="clear" w:color="000000" w:fill="DDEBF7"/>
            <w:vAlign w:val="center"/>
            <w:hideMark/>
          </w:tcPr>
          <w:p w14:paraId="0EB984B4"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Botanický ústav AV ČR</w:t>
            </w:r>
          </w:p>
        </w:tc>
        <w:tc>
          <w:tcPr>
            <w:tcW w:w="1000" w:type="dxa"/>
            <w:tcBorders>
              <w:top w:val="nil"/>
              <w:left w:val="nil"/>
              <w:bottom w:val="single" w:sz="4" w:space="0" w:color="auto"/>
              <w:right w:val="single" w:sz="4" w:space="0" w:color="auto"/>
            </w:tcBorders>
            <w:vAlign w:val="center"/>
            <w:hideMark/>
          </w:tcPr>
          <w:p w14:paraId="7E24B911"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3</w:t>
            </w:r>
          </w:p>
        </w:tc>
        <w:tc>
          <w:tcPr>
            <w:tcW w:w="1700" w:type="dxa"/>
            <w:tcBorders>
              <w:top w:val="nil"/>
              <w:left w:val="nil"/>
              <w:bottom w:val="single" w:sz="4" w:space="0" w:color="auto"/>
              <w:right w:val="single" w:sz="4" w:space="0" w:color="auto"/>
            </w:tcBorders>
            <w:shd w:val="clear" w:color="000000" w:fill="FFFFFF"/>
            <w:noWrap/>
            <w:vAlign w:val="center"/>
            <w:hideMark/>
          </w:tcPr>
          <w:p w14:paraId="61DCAC8C"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w:t>
            </w:r>
          </w:p>
        </w:tc>
      </w:tr>
      <w:tr w:rsidR="00A070B1" w:rsidRPr="00C24D02" w14:paraId="7AC9126C"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12D7E14E"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AV ČR</w:t>
            </w:r>
          </w:p>
        </w:tc>
        <w:tc>
          <w:tcPr>
            <w:tcW w:w="4460" w:type="dxa"/>
            <w:tcBorders>
              <w:top w:val="nil"/>
              <w:left w:val="nil"/>
              <w:bottom w:val="single" w:sz="4" w:space="0" w:color="auto"/>
              <w:right w:val="single" w:sz="4" w:space="0" w:color="auto"/>
            </w:tcBorders>
            <w:shd w:val="clear" w:color="000000" w:fill="DDEBF7"/>
            <w:vAlign w:val="center"/>
            <w:hideMark/>
          </w:tcPr>
          <w:p w14:paraId="7EEB1C03"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Ústav fotoniky a elektroniky AV ČR</w:t>
            </w:r>
          </w:p>
        </w:tc>
        <w:tc>
          <w:tcPr>
            <w:tcW w:w="1000" w:type="dxa"/>
            <w:tcBorders>
              <w:top w:val="nil"/>
              <w:left w:val="nil"/>
              <w:bottom w:val="single" w:sz="4" w:space="0" w:color="auto"/>
              <w:right w:val="single" w:sz="4" w:space="0" w:color="auto"/>
            </w:tcBorders>
            <w:vAlign w:val="center"/>
            <w:hideMark/>
          </w:tcPr>
          <w:p w14:paraId="1C9EA584"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2</w:t>
            </w:r>
          </w:p>
        </w:tc>
        <w:tc>
          <w:tcPr>
            <w:tcW w:w="1700" w:type="dxa"/>
            <w:tcBorders>
              <w:top w:val="nil"/>
              <w:left w:val="nil"/>
              <w:bottom w:val="single" w:sz="4" w:space="0" w:color="auto"/>
              <w:right w:val="single" w:sz="4" w:space="0" w:color="auto"/>
            </w:tcBorders>
            <w:shd w:val="clear" w:color="000000" w:fill="FFFFFF"/>
            <w:noWrap/>
            <w:vAlign w:val="center"/>
            <w:hideMark/>
          </w:tcPr>
          <w:p w14:paraId="0D406756"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 OP2</w:t>
            </w:r>
          </w:p>
        </w:tc>
      </w:tr>
      <w:tr w:rsidR="00A070B1" w:rsidRPr="00C24D02" w14:paraId="1E2644B1" w14:textId="77777777" w:rsidTr="00602B69">
        <w:trPr>
          <w:trHeight w:val="57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0ED4C4AE"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AV ČR</w:t>
            </w:r>
          </w:p>
        </w:tc>
        <w:tc>
          <w:tcPr>
            <w:tcW w:w="4460" w:type="dxa"/>
            <w:tcBorders>
              <w:top w:val="nil"/>
              <w:left w:val="nil"/>
              <w:bottom w:val="single" w:sz="4" w:space="0" w:color="auto"/>
              <w:right w:val="single" w:sz="4" w:space="0" w:color="auto"/>
            </w:tcBorders>
            <w:shd w:val="clear" w:color="000000" w:fill="DDEBF7"/>
            <w:vAlign w:val="center"/>
            <w:hideMark/>
          </w:tcPr>
          <w:p w14:paraId="1389FC0A"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Ústav fyzikální chemie J. Heyrovského AV ČR</w:t>
            </w:r>
          </w:p>
        </w:tc>
        <w:tc>
          <w:tcPr>
            <w:tcW w:w="1000" w:type="dxa"/>
            <w:tcBorders>
              <w:top w:val="nil"/>
              <w:left w:val="nil"/>
              <w:bottom w:val="single" w:sz="4" w:space="0" w:color="auto"/>
              <w:right w:val="single" w:sz="4" w:space="0" w:color="auto"/>
            </w:tcBorders>
            <w:vAlign w:val="center"/>
            <w:hideMark/>
          </w:tcPr>
          <w:p w14:paraId="2F96C148"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3</w:t>
            </w:r>
          </w:p>
        </w:tc>
        <w:tc>
          <w:tcPr>
            <w:tcW w:w="1700" w:type="dxa"/>
            <w:tcBorders>
              <w:top w:val="nil"/>
              <w:left w:val="nil"/>
              <w:bottom w:val="single" w:sz="4" w:space="0" w:color="auto"/>
              <w:right w:val="single" w:sz="4" w:space="0" w:color="auto"/>
            </w:tcBorders>
            <w:shd w:val="clear" w:color="000000" w:fill="FFFFFF"/>
            <w:noWrap/>
            <w:vAlign w:val="center"/>
            <w:hideMark/>
          </w:tcPr>
          <w:p w14:paraId="4581C318"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w:t>
            </w:r>
          </w:p>
        </w:tc>
      </w:tr>
      <w:tr w:rsidR="00A070B1" w:rsidRPr="00C24D02" w14:paraId="5110F558"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3D25ED07"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AV ČR</w:t>
            </w:r>
          </w:p>
        </w:tc>
        <w:tc>
          <w:tcPr>
            <w:tcW w:w="4460" w:type="dxa"/>
            <w:tcBorders>
              <w:top w:val="nil"/>
              <w:left w:val="nil"/>
              <w:bottom w:val="single" w:sz="4" w:space="0" w:color="auto"/>
              <w:right w:val="single" w:sz="4" w:space="0" w:color="auto"/>
            </w:tcBorders>
            <w:shd w:val="clear" w:color="000000" w:fill="DDEBF7"/>
            <w:vAlign w:val="center"/>
            <w:hideMark/>
          </w:tcPr>
          <w:p w14:paraId="7302FE41"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Ústav fyziky plazmatu AV ČR</w:t>
            </w:r>
          </w:p>
        </w:tc>
        <w:tc>
          <w:tcPr>
            <w:tcW w:w="1000" w:type="dxa"/>
            <w:tcBorders>
              <w:top w:val="nil"/>
              <w:left w:val="nil"/>
              <w:bottom w:val="single" w:sz="4" w:space="0" w:color="auto"/>
              <w:right w:val="single" w:sz="4" w:space="0" w:color="auto"/>
            </w:tcBorders>
            <w:vAlign w:val="center"/>
            <w:hideMark/>
          </w:tcPr>
          <w:p w14:paraId="54E10636"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2</w:t>
            </w:r>
          </w:p>
        </w:tc>
        <w:tc>
          <w:tcPr>
            <w:tcW w:w="1700" w:type="dxa"/>
            <w:tcBorders>
              <w:top w:val="nil"/>
              <w:left w:val="nil"/>
              <w:bottom w:val="single" w:sz="4" w:space="0" w:color="auto"/>
              <w:right w:val="single" w:sz="4" w:space="0" w:color="auto"/>
            </w:tcBorders>
            <w:shd w:val="clear" w:color="000000" w:fill="FFFFFF"/>
            <w:noWrap/>
            <w:vAlign w:val="center"/>
            <w:hideMark/>
          </w:tcPr>
          <w:p w14:paraId="57B83688"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OP2</w:t>
            </w:r>
          </w:p>
        </w:tc>
      </w:tr>
      <w:tr w:rsidR="00A070B1" w:rsidRPr="00C24D02" w14:paraId="7F1D5A64"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12A10710"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AV ČR</w:t>
            </w:r>
          </w:p>
        </w:tc>
        <w:tc>
          <w:tcPr>
            <w:tcW w:w="4460" w:type="dxa"/>
            <w:tcBorders>
              <w:top w:val="nil"/>
              <w:left w:val="nil"/>
              <w:bottom w:val="single" w:sz="4" w:space="0" w:color="auto"/>
              <w:right w:val="single" w:sz="4" w:space="0" w:color="auto"/>
            </w:tcBorders>
            <w:shd w:val="clear" w:color="000000" w:fill="DDEBF7"/>
            <w:vAlign w:val="center"/>
            <w:hideMark/>
          </w:tcPr>
          <w:p w14:paraId="4698BF56"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Ústav geoniky AV ČR</w:t>
            </w:r>
          </w:p>
        </w:tc>
        <w:tc>
          <w:tcPr>
            <w:tcW w:w="1000" w:type="dxa"/>
            <w:tcBorders>
              <w:top w:val="nil"/>
              <w:left w:val="nil"/>
              <w:bottom w:val="single" w:sz="4" w:space="0" w:color="auto"/>
              <w:right w:val="single" w:sz="4" w:space="0" w:color="auto"/>
            </w:tcBorders>
            <w:vAlign w:val="center"/>
            <w:hideMark/>
          </w:tcPr>
          <w:p w14:paraId="6CF12DDE"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w:t>
            </w:r>
          </w:p>
        </w:tc>
        <w:tc>
          <w:tcPr>
            <w:tcW w:w="1700" w:type="dxa"/>
            <w:tcBorders>
              <w:top w:val="nil"/>
              <w:left w:val="nil"/>
              <w:bottom w:val="single" w:sz="4" w:space="0" w:color="auto"/>
              <w:right w:val="single" w:sz="4" w:space="0" w:color="auto"/>
            </w:tcBorders>
            <w:shd w:val="clear" w:color="000000" w:fill="FFFFFF"/>
            <w:noWrap/>
            <w:vAlign w:val="center"/>
            <w:hideMark/>
          </w:tcPr>
          <w:p w14:paraId="7B797F80"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w:t>
            </w:r>
          </w:p>
        </w:tc>
      </w:tr>
      <w:tr w:rsidR="00A070B1" w:rsidRPr="00C24D02" w14:paraId="281C4171"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2421A923"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AV ČR</w:t>
            </w:r>
          </w:p>
        </w:tc>
        <w:tc>
          <w:tcPr>
            <w:tcW w:w="4460" w:type="dxa"/>
            <w:tcBorders>
              <w:top w:val="nil"/>
              <w:left w:val="nil"/>
              <w:bottom w:val="single" w:sz="4" w:space="0" w:color="auto"/>
              <w:right w:val="single" w:sz="4" w:space="0" w:color="auto"/>
            </w:tcBorders>
            <w:shd w:val="clear" w:color="000000" w:fill="DDEBF7"/>
            <w:vAlign w:val="center"/>
            <w:hideMark/>
          </w:tcPr>
          <w:p w14:paraId="3A627277"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Ústav informatiky AV ČR</w:t>
            </w:r>
          </w:p>
        </w:tc>
        <w:tc>
          <w:tcPr>
            <w:tcW w:w="1000" w:type="dxa"/>
            <w:tcBorders>
              <w:top w:val="nil"/>
              <w:left w:val="nil"/>
              <w:bottom w:val="single" w:sz="4" w:space="0" w:color="auto"/>
              <w:right w:val="single" w:sz="4" w:space="0" w:color="auto"/>
            </w:tcBorders>
            <w:vAlign w:val="center"/>
            <w:hideMark/>
          </w:tcPr>
          <w:p w14:paraId="6DCE1565"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w:t>
            </w:r>
          </w:p>
        </w:tc>
        <w:tc>
          <w:tcPr>
            <w:tcW w:w="1700" w:type="dxa"/>
            <w:tcBorders>
              <w:top w:val="nil"/>
              <w:left w:val="nil"/>
              <w:bottom w:val="single" w:sz="4" w:space="0" w:color="auto"/>
              <w:right w:val="single" w:sz="4" w:space="0" w:color="auto"/>
            </w:tcBorders>
            <w:shd w:val="clear" w:color="000000" w:fill="FFFFFF"/>
            <w:noWrap/>
            <w:vAlign w:val="center"/>
            <w:hideMark/>
          </w:tcPr>
          <w:p w14:paraId="1617BF8D"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w:t>
            </w:r>
          </w:p>
        </w:tc>
      </w:tr>
      <w:tr w:rsidR="00A070B1" w:rsidRPr="00C24D02" w14:paraId="4AFAF38E"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5F074EE3"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AV ČR</w:t>
            </w:r>
          </w:p>
        </w:tc>
        <w:tc>
          <w:tcPr>
            <w:tcW w:w="4460" w:type="dxa"/>
            <w:tcBorders>
              <w:top w:val="nil"/>
              <w:left w:val="nil"/>
              <w:bottom w:val="single" w:sz="4" w:space="0" w:color="auto"/>
              <w:right w:val="single" w:sz="4" w:space="0" w:color="auto"/>
            </w:tcBorders>
            <w:shd w:val="clear" w:color="000000" w:fill="DDEBF7"/>
            <w:vAlign w:val="center"/>
            <w:hideMark/>
          </w:tcPr>
          <w:p w14:paraId="366A3534"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Ústav pro jazyk český AV ČR</w:t>
            </w:r>
          </w:p>
        </w:tc>
        <w:tc>
          <w:tcPr>
            <w:tcW w:w="1000" w:type="dxa"/>
            <w:tcBorders>
              <w:top w:val="nil"/>
              <w:left w:val="nil"/>
              <w:bottom w:val="single" w:sz="4" w:space="0" w:color="auto"/>
              <w:right w:val="single" w:sz="4" w:space="0" w:color="auto"/>
            </w:tcBorders>
            <w:vAlign w:val="center"/>
            <w:hideMark/>
          </w:tcPr>
          <w:p w14:paraId="2387E475"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6</w:t>
            </w:r>
          </w:p>
        </w:tc>
        <w:tc>
          <w:tcPr>
            <w:tcW w:w="1700" w:type="dxa"/>
            <w:tcBorders>
              <w:top w:val="nil"/>
              <w:left w:val="nil"/>
              <w:bottom w:val="single" w:sz="4" w:space="0" w:color="auto"/>
              <w:right w:val="single" w:sz="4" w:space="0" w:color="auto"/>
            </w:tcBorders>
            <w:shd w:val="clear" w:color="000000" w:fill="FFFFFF"/>
            <w:noWrap/>
            <w:vAlign w:val="center"/>
            <w:hideMark/>
          </w:tcPr>
          <w:p w14:paraId="2F542ACE"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OP6</w:t>
            </w:r>
          </w:p>
        </w:tc>
      </w:tr>
      <w:tr w:rsidR="00A070B1" w:rsidRPr="00C24D02" w14:paraId="08731EED"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185E7CCF"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MK</w:t>
            </w:r>
          </w:p>
        </w:tc>
        <w:tc>
          <w:tcPr>
            <w:tcW w:w="4460" w:type="dxa"/>
            <w:tcBorders>
              <w:top w:val="nil"/>
              <w:left w:val="nil"/>
              <w:bottom w:val="single" w:sz="4" w:space="0" w:color="auto"/>
              <w:right w:val="single" w:sz="4" w:space="0" w:color="auto"/>
            </w:tcBorders>
            <w:shd w:val="clear" w:color="000000" w:fill="DDEBF7"/>
            <w:vAlign w:val="center"/>
            <w:hideMark/>
          </w:tcPr>
          <w:p w14:paraId="7BE6CC17"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Národní knihovna České republiky</w:t>
            </w:r>
          </w:p>
        </w:tc>
        <w:tc>
          <w:tcPr>
            <w:tcW w:w="1000" w:type="dxa"/>
            <w:tcBorders>
              <w:top w:val="nil"/>
              <w:left w:val="nil"/>
              <w:bottom w:val="single" w:sz="4" w:space="0" w:color="auto"/>
              <w:right w:val="single" w:sz="4" w:space="0" w:color="auto"/>
            </w:tcBorders>
            <w:vAlign w:val="center"/>
            <w:hideMark/>
          </w:tcPr>
          <w:p w14:paraId="603085B7"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w:t>
            </w:r>
          </w:p>
        </w:tc>
        <w:tc>
          <w:tcPr>
            <w:tcW w:w="1700" w:type="dxa"/>
            <w:tcBorders>
              <w:top w:val="nil"/>
              <w:left w:val="nil"/>
              <w:bottom w:val="single" w:sz="4" w:space="0" w:color="auto"/>
              <w:right w:val="single" w:sz="4" w:space="0" w:color="auto"/>
            </w:tcBorders>
            <w:shd w:val="clear" w:color="000000" w:fill="FFFFFF"/>
            <w:noWrap/>
            <w:vAlign w:val="center"/>
            <w:hideMark/>
          </w:tcPr>
          <w:p w14:paraId="4086A4F5"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OP6</w:t>
            </w:r>
          </w:p>
        </w:tc>
      </w:tr>
      <w:tr w:rsidR="00A070B1" w:rsidRPr="00C24D02" w14:paraId="4A450B5D"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43762E5C"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MPO</w:t>
            </w:r>
          </w:p>
        </w:tc>
        <w:tc>
          <w:tcPr>
            <w:tcW w:w="4460" w:type="dxa"/>
            <w:tcBorders>
              <w:top w:val="nil"/>
              <w:left w:val="nil"/>
              <w:bottom w:val="single" w:sz="4" w:space="0" w:color="auto"/>
              <w:right w:val="single" w:sz="4" w:space="0" w:color="auto"/>
            </w:tcBorders>
            <w:shd w:val="clear" w:color="000000" w:fill="DDEBF7"/>
            <w:vAlign w:val="center"/>
            <w:hideMark/>
          </w:tcPr>
          <w:p w14:paraId="27DD451B"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VÚTS</w:t>
            </w:r>
          </w:p>
        </w:tc>
        <w:tc>
          <w:tcPr>
            <w:tcW w:w="1000" w:type="dxa"/>
            <w:tcBorders>
              <w:top w:val="nil"/>
              <w:left w:val="nil"/>
              <w:bottom w:val="single" w:sz="4" w:space="0" w:color="auto"/>
              <w:right w:val="single" w:sz="4" w:space="0" w:color="auto"/>
            </w:tcBorders>
            <w:vAlign w:val="center"/>
            <w:hideMark/>
          </w:tcPr>
          <w:p w14:paraId="6EB0F3CC"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4</w:t>
            </w:r>
          </w:p>
        </w:tc>
        <w:tc>
          <w:tcPr>
            <w:tcW w:w="1700" w:type="dxa"/>
            <w:tcBorders>
              <w:top w:val="nil"/>
              <w:left w:val="nil"/>
              <w:bottom w:val="single" w:sz="4" w:space="0" w:color="auto"/>
              <w:right w:val="single" w:sz="4" w:space="0" w:color="auto"/>
            </w:tcBorders>
            <w:shd w:val="clear" w:color="000000" w:fill="FFFFFF"/>
            <w:noWrap/>
            <w:vAlign w:val="center"/>
            <w:hideMark/>
          </w:tcPr>
          <w:p w14:paraId="1585D4E5"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OP2</w:t>
            </w:r>
          </w:p>
        </w:tc>
      </w:tr>
      <w:tr w:rsidR="00A070B1" w:rsidRPr="00C24D02" w14:paraId="4F3DF7F2"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55D1D523"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MPO</w:t>
            </w:r>
          </w:p>
        </w:tc>
        <w:tc>
          <w:tcPr>
            <w:tcW w:w="4460" w:type="dxa"/>
            <w:tcBorders>
              <w:top w:val="nil"/>
              <w:left w:val="nil"/>
              <w:bottom w:val="single" w:sz="4" w:space="0" w:color="auto"/>
              <w:right w:val="single" w:sz="4" w:space="0" w:color="auto"/>
            </w:tcBorders>
            <w:shd w:val="clear" w:color="000000" w:fill="DDEBF7"/>
            <w:vAlign w:val="center"/>
            <w:hideMark/>
          </w:tcPr>
          <w:p w14:paraId="6DEA7E32"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 xml:space="preserve">Centrum výzkumu Řež </w:t>
            </w:r>
          </w:p>
        </w:tc>
        <w:tc>
          <w:tcPr>
            <w:tcW w:w="1000" w:type="dxa"/>
            <w:tcBorders>
              <w:top w:val="nil"/>
              <w:left w:val="nil"/>
              <w:bottom w:val="single" w:sz="4" w:space="0" w:color="auto"/>
              <w:right w:val="single" w:sz="4" w:space="0" w:color="auto"/>
            </w:tcBorders>
            <w:vAlign w:val="center"/>
            <w:hideMark/>
          </w:tcPr>
          <w:p w14:paraId="57F8463D"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2</w:t>
            </w:r>
          </w:p>
        </w:tc>
        <w:tc>
          <w:tcPr>
            <w:tcW w:w="1700" w:type="dxa"/>
            <w:tcBorders>
              <w:top w:val="nil"/>
              <w:left w:val="nil"/>
              <w:bottom w:val="single" w:sz="4" w:space="0" w:color="auto"/>
              <w:right w:val="single" w:sz="4" w:space="0" w:color="auto"/>
            </w:tcBorders>
            <w:shd w:val="clear" w:color="000000" w:fill="FFFFFF"/>
            <w:noWrap/>
            <w:vAlign w:val="center"/>
            <w:hideMark/>
          </w:tcPr>
          <w:p w14:paraId="6AAB7896"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OP2</w:t>
            </w:r>
          </w:p>
        </w:tc>
      </w:tr>
      <w:tr w:rsidR="00A070B1" w:rsidRPr="00C24D02" w14:paraId="3FEEAE32"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175DD682"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MPO</w:t>
            </w:r>
          </w:p>
        </w:tc>
        <w:tc>
          <w:tcPr>
            <w:tcW w:w="4460" w:type="dxa"/>
            <w:tcBorders>
              <w:top w:val="nil"/>
              <w:left w:val="nil"/>
              <w:bottom w:val="single" w:sz="4" w:space="0" w:color="auto"/>
              <w:right w:val="single" w:sz="4" w:space="0" w:color="auto"/>
            </w:tcBorders>
            <w:shd w:val="clear" w:color="000000" w:fill="DDEBF7"/>
            <w:vAlign w:val="center"/>
            <w:hideMark/>
          </w:tcPr>
          <w:p w14:paraId="05FAF9AB"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Český metrologický institut</w:t>
            </w:r>
          </w:p>
        </w:tc>
        <w:tc>
          <w:tcPr>
            <w:tcW w:w="1000" w:type="dxa"/>
            <w:tcBorders>
              <w:top w:val="nil"/>
              <w:left w:val="nil"/>
              <w:bottom w:val="single" w:sz="4" w:space="0" w:color="auto"/>
              <w:right w:val="single" w:sz="4" w:space="0" w:color="auto"/>
            </w:tcBorders>
            <w:vAlign w:val="center"/>
            <w:hideMark/>
          </w:tcPr>
          <w:p w14:paraId="0848D0B1"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3</w:t>
            </w:r>
          </w:p>
        </w:tc>
        <w:tc>
          <w:tcPr>
            <w:tcW w:w="1700" w:type="dxa"/>
            <w:tcBorders>
              <w:top w:val="nil"/>
              <w:left w:val="nil"/>
              <w:bottom w:val="single" w:sz="4" w:space="0" w:color="auto"/>
              <w:right w:val="single" w:sz="4" w:space="0" w:color="auto"/>
            </w:tcBorders>
            <w:shd w:val="clear" w:color="000000" w:fill="FFFFFF"/>
            <w:noWrap/>
            <w:vAlign w:val="center"/>
            <w:hideMark/>
          </w:tcPr>
          <w:p w14:paraId="6C7AD949"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 OP2</w:t>
            </w:r>
          </w:p>
        </w:tc>
      </w:tr>
      <w:tr w:rsidR="00A070B1" w:rsidRPr="00C24D02" w14:paraId="7C8DA404" w14:textId="77777777" w:rsidTr="00602B69">
        <w:trPr>
          <w:trHeight w:val="57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429D8490"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MPO</w:t>
            </w:r>
          </w:p>
        </w:tc>
        <w:tc>
          <w:tcPr>
            <w:tcW w:w="4460" w:type="dxa"/>
            <w:tcBorders>
              <w:top w:val="nil"/>
              <w:left w:val="nil"/>
              <w:bottom w:val="single" w:sz="4" w:space="0" w:color="auto"/>
              <w:right w:val="single" w:sz="4" w:space="0" w:color="auto"/>
            </w:tcBorders>
            <w:shd w:val="clear" w:color="000000" w:fill="DDEBF7"/>
            <w:vAlign w:val="center"/>
            <w:hideMark/>
          </w:tcPr>
          <w:p w14:paraId="2FF35E55"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MATERIÁLOVÝ A METALURGICKÝ VÝZKUM</w:t>
            </w:r>
          </w:p>
        </w:tc>
        <w:tc>
          <w:tcPr>
            <w:tcW w:w="1000" w:type="dxa"/>
            <w:tcBorders>
              <w:top w:val="nil"/>
              <w:left w:val="nil"/>
              <w:bottom w:val="single" w:sz="4" w:space="0" w:color="auto"/>
              <w:right w:val="single" w:sz="4" w:space="0" w:color="auto"/>
            </w:tcBorders>
            <w:vAlign w:val="center"/>
            <w:hideMark/>
          </w:tcPr>
          <w:p w14:paraId="2676AA70"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w:t>
            </w:r>
          </w:p>
        </w:tc>
        <w:tc>
          <w:tcPr>
            <w:tcW w:w="1700" w:type="dxa"/>
            <w:tcBorders>
              <w:top w:val="nil"/>
              <w:left w:val="nil"/>
              <w:bottom w:val="single" w:sz="4" w:space="0" w:color="auto"/>
              <w:right w:val="single" w:sz="4" w:space="0" w:color="auto"/>
            </w:tcBorders>
            <w:shd w:val="clear" w:color="000000" w:fill="FFFFFF"/>
            <w:noWrap/>
            <w:vAlign w:val="center"/>
            <w:hideMark/>
          </w:tcPr>
          <w:p w14:paraId="31755013"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OP2</w:t>
            </w:r>
          </w:p>
        </w:tc>
      </w:tr>
      <w:tr w:rsidR="00A070B1" w:rsidRPr="00C24D02" w14:paraId="6EF99F43"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60DA39B8"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MPO</w:t>
            </w:r>
          </w:p>
        </w:tc>
        <w:tc>
          <w:tcPr>
            <w:tcW w:w="4460" w:type="dxa"/>
            <w:tcBorders>
              <w:top w:val="nil"/>
              <w:left w:val="nil"/>
              <w:bottom w:val="single" w:sz="4" w:space="0" w:color="auto"/>
              <w:right w:val="single" w:sz="4" w:space="0" w:color="auto"/>
            </w:tcBorders>
            <w:shd w:val="clear" w:color="000000" w:fill="DDEBF7"/>
            <w:vAlign w:val="center"/>
            <w:hideMark/>
          </w:tcPr>
          <w:p w14:paraId="2EE522E2"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SVÚM, a.s.</w:t>
            </w:r>
          </w:p>
        </w:tc>
        <w:tc>
          <w:tcPr>
            <w:tcW w:w="1000" w:type="dxa"/>
            <w:tcBorders>
              <w:top w:val="nil"/>
              <w:left w:val="nil"/>
              <w:bottom w:val="single" w:sz="4" w:space="0" w:color="auto"/>
              <w:right w:val="single" w:sz="4" w:space="0" w:color="auto"/>
            </w:tcBorders>
            <w:vAlign w:val="center"/>
            <w:hideMark/>
          </w:tcPr>
          <w:p w14:paraId="2778062E"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3</w:t>
            </w:r>
          </w:p>
        </w:tc>
        <w:tc>
          <w:tcPr>
            <w:tcW w:w="1700" w:type="dxa"/>
            <w:tcBorders>
              <w:top w:val="nil"/>
              <w:left w:val="nil"/>
              <w:bottom w:val="single" w:sz="4" w:space="0" w:color="auto"/>
              <w:right w:val="single" w:sz="4" w:space="0" w:color="auto"/>
            </w:tcBorders>
            <w:shd w:val="clear" w:color="000000" w:fill="FFFFFF"/>
            <w:noWrap/>
            <w:vAlign w:val="center"/>
            <w:hideMark/>
          </w:tcPr>
          <w:p w14:paraId="4291D087"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OP2</w:t>
            </w:r>
          </w:p>
        </w:tc>
      </w:tr>
      <w:tr w:rsidR="00A070B1" w:rsidRPr="00C24D02" w14:paraId="1EC8B258"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795FAD78"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MŠMT</w:t>
            </w:r>
          </w:p>
        </w:tc>
        <w:tc>
          <w:tcPr>
            <w:tcW w:w="4460" w:type="dxa"/>
            <w:tcBorders>
              <w:top w:val="nil"/>
              <w:left w:val="nil"/>
              <w:bottom w:val="single" w:sz="4" w:space="0" w:color="auto"/>
              <w:right w:val="single" w:sz="4" w:space="0" w:color="auto"/>
            </w:tcBorders>
            <w:shd w:val="clear" w:color="000000" w:fill="DDEBF7"/>
            <w:vAlign w:val="center"/>
            <w:hideMark/>
          </w:tcPr>
          <w:p w14:paraId="668ED698"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Mendelova univerzita v Brně</w:t>
            </w:r>
          </w:p>
        </w:tc>
        <w:tc>
          <w:tcPr>
            <w:tcW w:w="1000" w:type="dxa"/>
            <w:tcBorders>
              <w:top w:val="nil"/>
              <w:left w:val="nil"/>
              <w:bottom w:val="single" w:sz="4" w:space="0" w:color="auto"/>
              <w:right w:val="single" w:sz="4" w:space="0" w:color="auto"/>
            </w:tcBorders>
            <w:vAlign w:val="center"/>
            <w:hideMark/>
          </w:tcPr>
          <w:p w14:paraId="10CB64C1"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3</w:t>
            </w:r>
          </w:p>
        </w:tc>
        <w:tc>
          <w:tcPr>
            <w:tcW w:w="1700" w:type="dxa"/>
            <w:tcBorders>
              <w:top w:val="nil"/>
              <w:left w:val="nil"/>
              <w:bottom w:val="single" w:sz="4" w:space="0" w:color="auto"/>
              <w:right w:val="single" w:sz="4" w:space="0" w:color="auto"/>
            </w:tcBorders>
            <w:shd w:val="clear" w:color="000000" w:fill="FFFFFF"/>
            <w:noWrap/>
            <w:vAlign w:val="center"/>
            <w:hideMark/>
          </w:tcPr>
          <w:p w14:paraId="65E50A4A"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 OP4</w:t>
            </w:r>
          </w:p>
        </w:tc>
      </w:tr>
      <w:tr w:rsidR="00A070B1" w:rsidRPr="00C24D02" w14:paraId="3421B089"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146E9E4E"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MŠMT</w:t>
            </w:r>
          </w:p>
        </w:tc>
        <w:tc>
          <w:tcPr>
            <w:tcW w:w="4460" w:type="dxa"/>
            <w:tcBorders>
              <w:top w:val="nil"/>
              <w:left w:val="nil"/>
              <w:bottom w:val="single" w:sz="4" w:space="0" w:color="auto"/>
              <w:right w:val="single" w:sz="4" w:space="0" w:color="auto"/>
            </w:tcBorders>
            <w:shd w:val="clear" w:color="000000" w:fill="DDEBF7"/>
            <w:vAlign w:val="center"/>
            <w:hideMark/>
          </w:tcPr>
          <w:p w14:paraId="72BBE2FC"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Masarykova univerzita</w:t>
            </w:r>
          </w:p>
        </w:tc>
        <w:tc>
          <w:tcPr>
            <w:tcW w:w="1000" w:type="dxa"/>
            <w:tcBorders>
              <w:top w:val="nil"/>
              <w:left w:val="nil"/>
              <w:bottom w:val="single" w:sz="4" w:space="0" w:color="auto"/>
              <w:right w:val="single" w:sz="4" w:space="0" w:color="auto"/>
            </w:tcBorders>
            <w:vAlign w:val="center"/>
            <w:hideMark/>
          </w:tcPr>
          <w:p w14:paraId="2CFFD6C8"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4</w:t>
            </w:r>
          </w:p>
        </w:tc>
        <w:tc>
          <w:tcPr>
            <w:tcW w:w="1700" w:type="dxa"/>
            <w:tcBorders>
              <w:top w:val="nil"/>
              <w:left w:val="nil"/>
              <w:bottom w:val="single" w:sz="4" w:space="0" w:color="auto"/>
              <w:right w:val="single" w:sz="4" w:space="0" w:color="auto"/>
            </w:tcBorders>
            <w:shd w:val="clear" w:color="000000" w:fill="FFFFFF"/>
            <w:noWrap/>
            <w:vAlign w:val="center"/>
            <w:hideMark/>
          </w:tcPr>
          <w:p w14:paraId="6DDF8C99"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 OP5, OP6</w:t>
            </w:r>
          </w:p>
        </w:tc>
      </w:tr>
      <w:tr w:rsidR="00A070B1" w:rsidRPr="00C24D02" w14:paraId="5F14FB5B"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0B7E416D"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MŠMT</w:t>
            </w:r>
          </w:p>
        </w:tc>
        <w:tc>
          <w:tcPr>
            <w:tcW w:w="4460" w:type="dxa"/>
            <w:tcBorders>
              <w:top w:val="nil"/>
              <w:left w:val="nil"/>
              <w:bottom w:val="single" w:sz="4" w:space="0" w:color="auto"/>
              <w:right w:val="single" w:sz="4" w:space="0" w:color="auto"/>
            </w:tcBorders>
            <w:shd w:val="clear" w:color="000000" w:fill="DDEBF7"/>
            <w:vAlign w:val="center"/>
            <w:hideMark/>
          </w:tcPr>
          <w:p w14:paraId="05A0BB48"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Technická univerzita v Liberci</w:t>
            </w:r>
          </w:p>
        </w:tc>
        <w:tc>
          <w:tcPr>
            <w:tcW w:w="1000" w:type="dxa"/>
            <w:tcBorders>
              <w:top w:val="nil"/>
              <w:left w:val="nil"/>
              <w:bottom w:val="single" w:sz="4" w:space="0" w:color="auto"/>
              <w:right w:val="single" w:sz="4" w:space="0" w:color="auto"/>
            </w:tcBorders>
            <w:vAlign w:val="center"/>
            <w:hideMark/>
          </w:tcPr>
          <w:p w14:paraId="023D73FB"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7</w:t>
            </w:r>
          </w:p>
        </w:tc>
        <w:tc>
          <w:tcPr>
            <w:tcW w:w="1700" w:type="dxa"/>
            <w:tcBorders>
              <w:top w:val="nil"/>
              <w:left w:val="nil"/>
              <w:bottom w:val="single" w:sz="4" w:space="0" w:color="auto"/>
              <w:right w:val="single" w:sz="4" w:space="0" w:color="auto"/>
            </w:tcBorders>
            <w:shd w:val="clear" w:color="000000" w:fill="FFFFFF"/>
            <w:noWrap/>
            <w:vAlign w:val="center"/>
            <w:hideMark/>
          </w:tcPr>
          <w:p w14:paraId="0A9707DA"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OP2; OP5</w:t>
            </w:r>
          </w:p>
        </w:tc>
      </w:tr>
      <w:tr w:rsidR="00A070B1" w:rsidRPr="00C24D02" w14:paraId="1D51D499"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42FBB5A1"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MŠMT</w:t>
            </w:r>
          </w:p>
        </w:tc>
        <w:tc>
          <w:tcPr>
            <w:tcW w:w="4460" w:type="dxa"/>
            <w:tcBorders>
              <w:top w:val="nil"/>
              <w:left w:val="nil"/>
              <w:bottom w:val="single" w:sz="4" w:space="0" w:color="auto"/>
              <w:right w:val="single" w:sz="4" w:space="0" w:color="auto"/>
            </w:tcBorders>
            <w:shd w:val="clear" w:color="000000" w:fill="DDEBF7"/>
            <w:vAlign w:val="center"/>
            <w:hideMark/>
          </w:tcPr>
          <w:p w14:paraId="4D73BB67"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Univerzita Karlova v Praze</w:t>
            </w:r>
          </w:p>
        </w:tc>
        <w:tc>
          <w:tcPr>
            <w:tcW w:w="1000" w:type="dxa"/>
            <w:tcBorders>
              <w:top w:val="nil"/>
              <w:left w:val="nil"/>
              <w:bottom w:val="single" w:sz="4" w:space="0" w:color="auto"/>
              <w:right w:val="single" w:sz="4" w:space="0" w:color="auto"/>
            </w:tcBorders>
            <w:vAlign w:val="center"/>
            <w:hideMark/>
          </w:tcPr>
          <w:p w14:paraId="6BE9370E"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5</w:t>
            </w:r>
          </w:p>
        </w:tc>
        <w:tc>
          <w:tcPr>
            <w:tcW w:w="1700" w:type="dxa"/>
            <w:tcBorders>
              <w:top w:val="nil"/>
              <w:left w:val="nil"/>
              <w:bottom w:val="single" w:sz="4" w:space="0" w:color="auto"/>
              <w:right w:val="single" w:sz="4" w:space="0" w:color="auto"/>
            </w:tcBorders>
            <w:shd w:val="clear" w:color="000000" w:fill="FFFFFF"/>
            <w:noWrap/>
            <w:vAlign w:val="center"/>
            <w:hideMark/>
          </w:tcPr>
          <w:p w14:paraId="6CF20FB7"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 OP5</w:t>
            </w:r>
          </w:p>
        </w:tc>
      </w:tr>
      <w:tr w:rsidR="00A070B1" w:rsidRPr="00C24D02" w14:paraId="45E0B73B"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6755A176"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MŠMT</w:t>
            </w:r>
          </w:p>
        </w:tc>
        <w:tc>
          <w:tcPr>
            <w:tcW w:w="4460" w:type="dxa"/>
            <w:tcBorders>
              <w:top w:val="nil"/>
              <w:left w:val="nil"/>
              <w:bottom w:val="single" w:sz="4" w:space="0" w:color="auto"/>
              <w:right w:val="single" w:sz="4" w:space="0" w:color="auto"/>
            </w:tcBorders>
            <w:shd w:val="clear" w:color="000000" w:fill="DDEBF7"/>
            <w:vAlign w:val="center"/>
            <w:hideMark/>
          </w:tcPr>
          <w:p w14:paraId="5B200854"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Univerzita Pardubice</w:t>
            </w:r>
          </w:p>
        </w:tc>
        <w:tc>
          <w:tcPr>
            <w:tcW w:w="1000" w:type="dxa"/>
            <w:tcBorders>
              <w:top w:val="nil"/>
              <w:left w:val="nil"/>
              <w:bottom w:val="single" w:sz="4" w:space="0" w:color="auto"/>
              <w:right w:val="single" w:sz="4" w:space="0" w:color="auto"/>
            </w:tcBorders>
            <w:vAlign w:val="center"/>
            <w:hideMark/>
          </w:tcPr>
          <w:p w14:paraId="76EC5DE5"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2</w:t>
            </w:r>
          </w:p>
        </w:tc>
        <w:tc>
          <w:tcPr>
            <w:tcW w:w="1700" w:type="dxa"/>
            <w:tcBorders>
              <w:top w:val="nil"/>
              <w:left w:val="nil"/>
              <w:bottom w:val="single" w:sz="4" w:space="0" w:color="auto"/>
              <w:right w:val="single" w:sz="4" w:space="0" w:color="auto"/>
            </w:tcBorders>
            <w:shd w:val="clear" w:color="000000" w:fill="FFFFFF"/>
            <w:noWrap/>
            <w:vAlign w:val="center"/>
            <w:hideMark/>
          </w:tcPr>
          <w:p w14:paraId="64DB2329"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 OP6</w:t>
            </w:r>
          </w:p>
        </w:tc>
      </w:tr>
      <w:tr w:rsidR="00A070B1" w:rsidRPr="00C24D02" w14:paraId="7D9F7E2D"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58E23C62"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MŠMT</w:t>
            </w:r>
          </w:p>
        </w:tc>
        <w:tc>
          <w:tcPr>
            <w:tcW w:w="4460" w:type="dxa"/>
            <w:tcBorders>
              <w:top w:val="nil"/>
              <w:left w:val="nil"/>
              <w:bottom w:val="single" w:sz="4" w:space="0" w:color="auto"/>
              <w:right w:val="single" w:sz="4" w:space="0" w:color="auto"/>
            </w:tcBorders>
            <w:shd w:val="clear" w:color="000000" w:fill="DDEBF7"/>
            <w:vAlign w:val="center"/>
            <w:hideMark/>
          </w:tcPr>
          <w:p w14:paraId="7A334F4B"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Univerzita Palackého v Olomouci</w:t>
            </w:r>
          </w:p>
        </w:tc>
        <w:tc>
          <w:tcPr>
            <w:tcW w:w="1000" w:type="dxa"/>
            <w:tcBorders>
              <w:top w:val="nil"/>
              <w:left w:val="nil"/>
              <w:bottom w:val="single" w:sz="4" w:space="0" w:color="auto"/>
              <w:right w:val="single" w:sz="4" w:space="0" w:color="auto"/>
            </w:tcBorders>
            <w:vAlign w:val="center"/>
            <w:hideMark/>
          </w:tcPr>
          <w:p w14:paraId="1D75EC54"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6</w:t>
            </w:r>
          </w:p>
        </w:tc>
        <w:tc>
          <w:tcPr>
            <w:tcW w:w="1700" w:type="dxa"/>
            <w:tcBorders>
              <w:top w:val="nil"/>
              <w:left w:val="nil"/>
              <w:bottom w:val="single" w:sz="4" w:space="0" w:color="auto"/>
              <w:right w:val="single" w:sz="4" w:space="0" w:color="auto"/>
            </w:tcBorders>
            <w:shd w:val="clear" w:color="000000" w:fill="FFFFFF"/>
            <w:noWrap/>
            <w:vAlign w:val="center"/>
            <w:hideMark/>
          </w:tcPr>
          <w:p w14:paraId="4FF82490"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 OP5; OP6</w:t>
            </w:r>
          </w:p>
        </w:tc>
      </w:tr>
      <w:tr w:rsidR="00A070B1" w:rsidRPr="00C24D02" w14:paraId="313E8D46"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6AB88AB1"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MŠMT</w:t>
            </w:r>
          </w:p>
        </w:tc>
        <w:tc>
          <w:tcPr>
            <w:tcW w:w="4460" w:type="dxa"/>
            <w:tcBorders>
              <w:top w:val="nil"/>
              <w:left w:val="nil"/>
              <w:bottom w:val="single" w:sz="4" w:space="0" w:color="auto"/>
              <w:right w:val="single" w:sz="4" w:space="0" w:color="auto"/>
            </w:tcBorders>
            <w:shd w:val="clear" w:color="000000" w:fill="DDEBF7"/>
            <w:vAlign w:val="center"/>
            <w:hideMark/>
          </w:tcPr>
          <w:p w14:paraId="44AD9C5D"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 xml:space="preserve">Česká zemědělská univerzita v Praze </w:t>
            </w:r>
          </w:p>
        </w:tc>
        <w:tc>
          <w:tcPr>
            <w:tcW w:w="1000" w:type="dxa"/>
            <w:tcBorders>
              <w:top w:val="nil"/>
              <w:left w:val="nil"/>
              <w:bottom w:val="single" w:sz="4" w:space="0" w:color="auto"/>
              <w:right w:val="single" w:sz="4" w:space="0" w:color="auto"/>
            </w:tcBorders>
            <w:vAlign w:val="center"/>
            <w:hideMark/>
          </w:tcPr>
          <w:p w14:paraId="5354837C"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4</w:t>
            </w:r>
          </w:p>
        </w:tc>
        <w:tc>
          <w:tcPr>
            <w:tcW w:w="1700" w:type="dxa"/>
            <w:tcBorders>
              <w:top w:val="nil"/>
              <w:left w:val="nil"/>
              <w:bottom w:val="single" w:sz="4" w:space="0" w:color="auto"/>
              <w:right w:val="single" w:sz="4" w:space="0" w:color="auto"/>
            </w:tcBorders>
            <w:shd w:val="clear" w:color="000000" w:fill="FFFFFF"/>
            <w:noWrap/>
            <w:vAlign w:val="center"/>
            <w:hideMark/>
          </w:tcPr>
          <w:p w14:paraId="6C4514DF"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 OP2; OP4</w:t>
            </w:r>
          </w:p>
        </w:tc>
      </w:tr>
      <w:tr w:rsidR="00A070B1" w:rsidRPr="00C24D02" w14:paraId="7BC2B8E9"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47BE7D63"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MŠMT</w:t>
            </w:r>
          </w:p>
        </w:tc>
        <w:tc>
          <w:tcPr>
            <w:tcW w:w="4460" w:type="dxa"/>
            <w:tcBorders>
              <w:top w:val="nil"/>
              <w:left w:val="nil"/>
              <w:bottom w:val="single" w:sz="4" w:space="0" w:color="auto"/>
              <w:right w:val="single" w:sz="4" w:space="0" w:color="auto"/>
            </w:tcBorders>
            <w:shd w:val="clear" w:color="000000" w:fill="DDEBF7"/>
            <w:vAlign w:val="center"/>
            <w:hideMark/>
          </w:tcPr>
          <w:p w14:paraId="71DD1953"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České vysoké učení technické v Praze</w:t>
            </w:r>
          </w:p>
        </w:tc>
        <w:tc>
          <w:tcPr>
            <w:tcW w:w="1000" w:type="dxa"/>
            <w:tcBorders>
              <w:top w:val="nil"/>
              <w:left w:val="nil"/>
              <w:bottom w:val="single" w:sz="4" w:space="0" w:color="auto"/>
              <w:right w:val="single" w:sz="4" w:space="0" w:color="auto"/>
            </w:tcBorders>
            <w:vAlign w:val="center"/>
            <w:hideMark/>
          </w:tcPr>
          <w:p w14:paraId="4A21879A"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2</w:t>
            </w:r>
          </w:p>
        </w:tc>
        <w:tc>
          <w:tcPr>
            <w:tcW w:w="1700" w:type="dxa"/>
            <w:tcBorders>
              <w:top w:val="nil"/>
              <w:left w:val="nil"/>
              <w:bottom w:val="single" w:sz="4" w:space="0" w:color="auto"/>
              <w:right w:val="single" w:sz="4" w:space="0" w:color="auto"/>
            </w:tcBorders>
            <w:shd w:val="clear" w:color="000000" w:fill="FFFFFF"/>
            <w:noWrap/>
            <w:vAlign w:val="center"/>
            <w:hideMark/>
          </w:tcPr>
          <w:p w14:paraId="035C01EE"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w:t>
            </w:r>
          </w:p>
        </w:tc>
      </w:tr>
      <w:tr w:rsidR="00A070B1" w:rsidRPr="00C24D02" w14:paraId="3FD4F0D0" w14:textId="77777777" w:rsidTr="00602B69">
        <w:trPr>
          <w:trHeight w:val="57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783CBE59"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MŠMT</w:t>
            </w:r>
          </w:p>
        </w:tc>
        <w:tc>
          <w:tcPr>
            <w:tcW w:w="4460" w:type="dxa"/>
            <w:tcBorders>
              <w:top w:val="nil"/>
              <w:left w:val="nil"/>
              <w:bottom w:val="single" w:sz="4" w:space="0" w:color="auto"/>
              <w:right w:val="single" w:sz="4" w:space="0" w:color="auto"/>
            </w:tcBorders>
            <w:shd w:val="clear" w:color="000000" w:fill="DDEBF7"/>
            <w:vAlign w:val="center"/>
            <w:hideMark/>
          </w:tcPr>
          <w:p w14:paraId="4D5F5856"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Vysoká škola Báňská – Technická univerzita Ostrava</w:t>
            </w:r>
          </w:p>
        </w:tc>
        <w:tc>
          <w:tcPr>
            <w:tcW w:w="1000" w:type="dxa"/>
            <w:tcBorders>
              <w:top w:val="nil"/>
              <w:left w:val="nil"/>
              <w:bottom w:val="single" w:sz="4" w:space="0" w:color="auto"/>
              <w:right w:val="single" w:sz="4" w:space="0" w:color="auto"/>
            </w:tcBorders>
            <w:vAlign w:val="center"/>
            <w:hideMark/>
          </w:tcPr>
          <w:p w14:paraId="5DCCCCC2"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11</w:t>
            </w:r>
          </w:p>
        </w:tc>
        <w:tc>
          <w:tcPr>
            <w:tcW w:w="1700" w:type="dxa"/>
            <w:tcBorders>
              <w:top w:val="nil"/>
              <w:left w:val="nil"/>
              <w:bottom w:val="single" w:sz="4" w:space="0" w:color="auto"/>
              <w:right w:val="single" w:sz="4" w:space="0" w:color="auto"/>
            </w:tcBorders>
            <w:shd w:val="clear" w:color="000000" w:fill="FFFFFF"/>
            <w:noWrap/>
            <w:vAlign w:val="center"/>
            <w:hideMark/>
          </w:tcPr>
          <w:p w14:paraId="14D80F70"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 OP2</w:t>
            </w:r>
          </w:p>
        </w:tc>
      </w:tr>
      <w:tr w:rsidR="00A070B1" w:rsidRPr="00C24D02" w14:paraId="4675F6D4"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67272D15"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MŠMT</w:t>
            </w:r>
          </w:p>
        </w:tc>
        <w:tc>
          <w:tcPr>
            <w:tcW w:w="4460" w:type="dxa"/>
            <w:tcBorders>
              <w:top w:val="nil"/>
              <w:left w:val="nil"/>
              <w:bottom w:val="single" w:sz="4" w:space="0" w:color="auto"/>
              <w:right w:val="single" w:sz="4" w:space="0" w:color="auto"/>
            </w:tcBorders>
            <w:shd w:val="clear" w:color="000000" w:fill="DDEBF7"/>
            <w:vAlign w:val="center"/>
            <w:hideMark/>
          </w:tcPr>
          <w:p w14:paraId="64F97071"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Vysoká škola finanční a správní</w:t>
            </w:r>
          </w:p>
        </w:tc>
        <w:tc>
          <w:tcPr>
            <w:tcW w:w="1000" w:type="dxa"/>
            <w:tcBorders>
              <w:top w:val="nil"/>
              <w:left w:val="nil"/>
              <w:bottom w:val="single" w:sz="4" w:space="0" w:color="auto"/>
              <w:right w:val="single" w:sz="4" w:space="0" w:color="auto"/>
            </w:tcBorders>
            <w:vAlign w:val="center"/>
            <w:hideMark/>
          </w:tcPr>
          <w:p w14:paraId="505B9BE1"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w:t>
            </w:r>
          </w:p>
        </w:tc>
        <w:tc>
          <w:tcPr>
            <w:tcW w:w="1700" w:type="dxa"/>
            <w:tcBorders>
              <w:top w:val="nil"/>
              <w:left w:val="nil"/>
              <w:bottom w:val="single" w:sz="4" w:space="0" w:color="auto"/>
              <w:right w:val="single" w:sz="4" w:space="0" w:color="auto"/>
            </w:tcBorders>
            <w:shd w:val="clear" w:color="000000" w:fill="FFFFFF"/>
            <w:noWrap/>
            <w:vAlign w:val="center"/>
            <w:hideMark/>
          </w:tcPr>
          <w:p w14:paraId="6577F81A"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OP5</w:t>
            </w:r>
          </w:p>
        </w:tc>
      </w:tr>
      <w:tr w:rsidR="00A070B1" w:rsidRPr="00C24D02" w14:paraId="0F57E734" w14:textId="77777777" w:rsidTr="00602B69">
        <w:trPr>
          <w:trHeight w:val="376"/>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368B06BF"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MŠMT</w:t>
            </w:r>
          </w:p>
        </w:tc>
        <w:tc>
          <w:tcPr>
            <w:tcW w:w="4460" w:type="dxa"/>
            <w:tcBorders>
              <w:top w:val="nil"/>
              <w:left w:val="nil"/>
              <w:bottom w:val="single" w:sz="4" w:space="0" w:color="auto"/>
              <w:right w:val="single" w:sz="4" w:space="0" w:color="auto"/>
            </w:tcBorders>
            <w:shd w:val="clear" w:color="000000" w:fill="DDEBF7"/>
            <w:vAlign w:val="center"/>
            <w:hideMark/>
          </w:tcPr>
          <w:p w14:paraId="0E8E9E2A"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Vysoká škola chemicko-technologická v Praze</w:t>
            </w:r>
          </w:p>
        </w:tc>
        <w:tc>
          <w:tcPr>
            <w:tcW w:w="1000" w:type="dxa"/>
            <w:tcBorders>
              <w:top w:val="nil"/>
              <w:left w:val="nil"/>
              <w:bottom w:val="single" w:sz="4" w:space="0" w:color="auto"/>
              <w:right w:val="single" w:sz="4" w:space="0" w:color="auto"/>
            </w:tcBorders>
            <w:vAlign w:val="center"/>
            <w:hideMark/>
          </w:tcPr>
          <w:p w14:paraId="10565D65"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5</w:t>
            </w:r>
          </w:p>
        </w:tc>
        <w:tc>
          <w:tcPr>
            <w:tcW w:w="1700" w:type="dxa"/>
            <w:tcBorders>
              <w:top w:val="nil"/>
              <w:left w:val="nil"/>
              <w:bottom w:val="single" w:sz="4" w:space="0" w:color="auto"/>
              <w:right w:val="single" w:sz="4" w:space="0" w:color="auto"/>
            </w:tcBorders>
            <w:shd w:val="clear" w:color="000000" w:fill="FFFFFF"/>
            <w:noWrap/>
            <w:vAlign w:val="center"/>
            <w:hideMark/>
          </w:tcPr>
          <w:p w14:paraId="5C499EA4"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w:t>
            </w:r>
          </w:p>
        </w:tc>
      </w:tr>
      <w:tr w:rsidR="00A070B1" w:rsidRPr="00C24D02" w14:paraId="181C4271"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3A4D5F67"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MŠMT</w:t>
            </w:r>
          </w:p>
        </w:tc>
        <w:tc>
          <w:tcPr>
            <w:tcW w:w="4460" w:type="dxa"/>
            <w:tcBorders>
              <w:top w:val="nil"/>
              <w:left w:val="nil"/>
              <w:bottom w:val="single" w:sz="4" w:space="0" w:color="auto"/>
              <w:right w:val="single" w:sz="4" w:space="0" w:color="auto"/>
            </w:tcBorders>
            <w:shd w:val="clear" w:color="000000" w:fill="DDEBF7"/>
            <w:vAlign w:val="center"/>
            <w:hideMark/>
          </w:tcPr>
          <w:p w14:paraId="4551BE05"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Západočeská univerzita v Plzni</w:t>
            </w:r>
          </w:p>
        </w:tc>
        <w:tc>
          <w:tcPr>
            <w:tcW w:w="1000" w:type="dxa"/>
            <w:tcBorders>
              <w:top w:val="nil"/>
              <w:left w:val="nil"/>
              <w:bottom w:val="single" w:sz="4" w:space="0" w:color="auto"/>
              <w:right w:val="single" w:sz="4" w:space="0" w:color="auto"/>
            </w:tcBorders>
            <w:vAlign w:val="center"/>
            <w:hideMark/>
          </w:tcPr>
          <w:p w14:paraId="6BF3AA38"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8</w:t>
            </w:r>
          </w:p>
        </w:tc>
        <w:tc>
          <w:tcPr>
            <w:tcW w:w="1700" w:type="dxa"/>
            <w:tcBorders>
              <w:top w:val="nil"/>
              <w:left w:val="nil"/>
              <w:bottom w:val="single" w:sz="4" w:space="0" w:color="auto"/>
              <w:right w:val="single" w:sz="4" w:space="0" w:color="auto"/>
            </w:tcBorders>
            <w:shd w:val="clear" w:color="000000" w:fill="FFFFFF"/>
            <w:noWrap/>
            <w:vAlign w:val="center"/>
            <w:hideMark/>
          </w:tcPr>
          <w:p w14:paraId="7DD60F77"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 OP2; OP6</w:t>
            </w:r>
          </w:p>
        </w:tc>
      </w:tr>
      <w:tr w:rsidR="00A070B1" w:rsidRPr="00C24D02" w14:paraId="45DA769F"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0F2DA66C"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MŠMT</w:t>
            </w:r>
          </w:p>
        </w:tc>
        <w:tc>
          <w:tcPr>
            <w:tcW w:w="4460" w:type="dxa"/>
            <w:tcBorders>
              <w:top w:val="nil"/>
              <w:left w:val="nil"/>
              <w:bottom w:val="single" w:sz="4" w:space="0" w:color="auto"/>
              <w:right w:val="single" w:sz="4" w:space="0" w:color="auto"/>
            </w:tcBorders>
            <w:shd w:val="clear" w:color="000000" w:fill="DDEBF7"/>
            <w:vAlign w:val="center"/>
            <w:hideMark/>
          </w:tcPr>
          <w:p w14:paraId="655627A4"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Vysoké učení technické v Brně</w:t>
            </w:r>
          </w:p>
        </w:tc>
        <w:tc>
          <w:tcPr>
            <w:tcW w:w="1000" w:type="dxa"/>
            <w:tcBorders>
              <w:top w:val="nil"/>
              <w:left w:val="nil"/>
              <w:bottom w:val="single" w:sz="4" w:space="0" w:color="auto"/>
              <w:right w:val="single" w:sz="4" w:space="0" w:color="auto"/>
            </w:tcBorders>
            <w:vAlign w:val="center"/>
            <w:hideMark/>
          </w:tcPr>
          <w:p w14:paraId="353BB770"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10</w:t>
            </w:r>
          </w:p>
        </w:tc>
        <w:tc>
          <w:tcPr>
            <w:tcW w:w="1700" w:type="dxa"/>
            <w:tcBorders>
              <w:top w:val="nil"/>
              <w:left w:val="nil"/>
              <w:bottom w:val="single" w:sz="4" w:space="0" w:color="auto"/>
              <w:right w:val="single" w:sz="4" w:space="0" w:color="auto"/>
            </w:tcBorders>
            <w:shd w:val="clear" w:color="000000" w:fill="FFFFFF"/>
            <w:noWrap/>
            <w:vAlign w:val="center"/>
            <w:hideMark/>
          </w:tcPr>
          <w:p w14:paraId="4EF91D00"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 OP2. OP6</w:t>
            </w:r>
          </w:p>
        </w:tc>
      </w:tr>
      <w:tr w:rsidR="00A070B1" w:rsidRPr="00C24D02" w14:paraId="57B65959"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690581A2"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MV</w:t>
            </w:r>
          </w:p>
        </w:tc>
        <w:tc>
          <w:tcPr>
            <w:tcW w:w="4460" w:type="dxa"/>
            <w:tcBorders>
              <w:top w:val="nil"/>
              <w:left w:val="nil"/>
              <w:bottom w:val="single" w:sz="4" w:space="0" w:color="auto"/>
              <w:right w:val="single" w:sz="4" w:space="0" w:color="auto"/>
            </w:tcBorders>
            <w:shd w:val="clear" w:color="000000" w:fill="DDEBF7"/>
            <w:vAlign w:val="center"/>
            <w:hideMark/>
          </w:tcPr>
          <w:p w14:paraId="134B15D2"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Policejní akademie ČR v Praze</w:t>
            </w:r>
          </w:p>
        </w:tc>
        <w:tc>
          <w:tcPr>
            <w:tcW w:w="1000" w:type="dxa"/>
            <w:tcBorders>
              <w:top w:val="nil"/>
              <w:left w:val="nil"/>
              <w:bottom w:val="single" w:sz="4" w:space="0" w:color="auto"/>
              <w:right w:val="single" w:sz="4" w:space="0" w:color="auto"/>
            </w:tcBorders>
            <w:vAlign w:val="center"/>
            <w:hideMark/>
          </w:tcPr>
          <w:p w14:paraId="4290D754"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w:t>
            </w:r>
          </w:p>
        </w:tc>
        <w:tc>
          <w:tcPr>
            <w:tcW w:w="1700" w:type="dxa"/>
            <w:tcBorders>
              <w:top w:val="nil"/>
              <w:left w:val="nil"/>
              <w:bottom w:val="single" w:sz="4" w:space="0" w:color="auto"/>
              <w:right w:val="single" w:sz="4" w:space="0" w:color="auto"/>
            </w:tcBorders>
            <w:shd w:val="clear" w:color="000000" w:fill="FFFFFF"/>
            <w:noWrap/>
            <w:vAlign w:val="center"/>
            <w:hideMark/>
          </w:tcPr>
          <w:p w14:paraId="49A19AA4"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OP5</w:t>
            </w:r>
          </w:p>
        </w:tc>
      </w:tr>
      <w:tr w:rsidR="00A070B1" w:rsidRPr="00C24D02" w14:paraId="1CA3B3A5"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098E8806"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MZD</w:t>
            </w:r>
          </w:p>
        </w:tc>
        <w:tc>
          <w:tcPr>
            <w:tcW w:w="4460" w:type="dxa"/>
            <w:tcBorders>
              <w:top w:val="nil"/>
              <w:left w:val="nil"/>
              <w:bottom w:val="single" w:sz="4" w:space="0" w:color="auto"/>
              <w:right w:val="single" w:sz="4" w:space="0" w:color="auto"/>
            </w:tcBorders>
            <w:shd w:val="clear" w:color="000000" w:fill="DDEBF7"/>
            <w:vAlign w:val="center"/>
            <w:hideMark/>
          </w:tcPr>
          <w:p w14:paraId="3C04F5BE"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Nemocnice na Homolce</w:t>
            </w:r>
          </w:p>
        </w:tc>
        <w:tc>
          <w:tcPr>
            <w:tcW w:w="1000" w:type="dxa"/>
            <w:tcBorders>
              <w:top w:val="nil"/>
              <w:left w:val="nil"/>
              <w:bottom w:val="single" w:sz="4" w:space="0" w:color="auto"/>
              <w:right w:val="single" w:sz="4" w:space="0" w:color="auto"/>
            </w:tcBorders>
            <w:vAlign w:val="center"/>
            <w:hideMark/>
          </w:tcPr>
          <w:p w14:paraId="25545045"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3</w:t>
            </w:r>
          </w:p>
        </w:tc>
        <w:tc>
          <w:tcPr>
            <w:tcW w:w="1700" w:type="dxa"/>
            <w:tcBorders>
              <w:top w:val="nil"/>
              <w:left w:val="nil"/>
              <w:bottom w:val="single" w:sz="4" w:space="0" w:color="auto"/>
              <w:right w:val="single" w:sz="4" w:space="0" w:color="auto"/>
            </w:tcBorders>
            <w:shd w:val="clear" w:color="000000" w:fill="FFFFFF"/>
            <w:noWrap/>
            <w:vAlign w:val="center"/>
            <w:hideMark/>
          </w:tcPr>
          <w:p w14:paraId="2E981D2B"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OP5</w:t>
            </w:r>
          </w:p>
        </w:tc>
      </w:tr>
      <w:tr w:rsidR="00A070B1" w:rsidRPr="00C24D02" w14:paraId="305194F8"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vAlign w:val="center"/>
            <w:hideMark/>
          </w:tcPr>
          <w:p w14:paraId="4F2F7D2F"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MZD</w:t>
            </w:r>
          </w:p>
        </w:tc>
        <w:tc>
          <w:tcPr>
            <w:tcW w:w="4460" w:type="dxa"/>
            <w:tcBorders>
              <w:top w:val="nil"/>
              <w:left w:val="nil"/>
              <w:bottom w:val="single" w:sz="4" w:space="0" w:color="auto"/>
              <w:right w:val="single" w:sz="4" w:space="0" w:color="auto"/>
            </w:tcBorders>
            <w:shd w:val="clear" w:color="000000" w:fill="DDEBF7"/>
            <w:vAlign w:val="center"/>
            <w:hideMark/>
          </w:tcPr>
          <w:p w14:paraId="6BE24F69"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Fakultní nemocnice u sv. Anny v Brně</w:t>
            </w:r>
          </w:p>
        </w:tc>
        <w:tc>
          <w:tcPr>
            <w:tcW w:w="1000" w:type="dxa"/>
            <w:tcBorders>
              <w:top w:val="nil"/>
              <w:left w:val="nil"/>
              <w:bottom w:val="single" w:sz="4" w:space="0" w:color="auto"/>
              <w:right w:val="single" w:sz="4" w:space="0" w:color="auto"/>
            </w:tcBorders>
            <w:vAlign w:val="center"/>
            <w:hideMark/>
          </w:tcPr>
          <w:p w14:paraId="640D5917"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2</w:t>
            </w:r>
          </w:p>
        </w:tc>
        <w:tc>
          <w:tcPr>
            <w:tcW w:w="1700" w:type="dxa"/>
            <w:tcBorders>
              <w:top w:val="nil"/>
              <w:left w:val="nil"/>
              <w:bottom w:val="single" w:sz="4" w:space="0" w:color="auto"/>
              <w:right w:val="single" w:sz="4" w:space="0" w:color="auto"/>
            </w:tcBorders>
            <w:shd w:val="clear" w:color="000000" w:fill="FFFFFF"/>
            <w:noWrap/>
            <w:vAlign w:val="center"/>
            <w:hideMark/>
          </w:tcPr>
          <w:p w14:paraId="6F1FC190"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w:t>
            </w:r>
          </w:p>
        </w:tc>
      </w:tr>
      <w:tr w:rsidR="00A070B1" w:rsidRPr="00C24D02" w14:paraId="10253777"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44CCB80C"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MŽP</w:t>
            </w:r>
          </w:p>
        </w:tc>
        <w:tc>
          <w:tcPr>
            <w:tcW w:w="4460" w:type="dxa"/>
            <w:tcBorders>
              <w:top w:val="nil"/>
              <w:left w:val="nil"/>
              <w:bottom w:val="single" w:sz="4" w:space="0" w:color="auto"/>
              <w:right w:val="single" w:sz="4" w:space="0" w:color="auto"/>
            </w:tcBorders>
            <w:shd w:val="clear" w:color="000000" w:fill="DDEBF7"/>
            <w:vAlign w:val="center"/>
            <w:hideMark/>
          </w:tcPr>
          <w:p w14:paraId="7CBD88E9"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Česká geologická služba</w:t>
            </w:r>
          </w:p>
        </w:tc>
        <w:tc>
          <w:tcPr>
            <w:tcW w:w="1000" w:type="dxa"/>
            <w:tcBorders>
              <w:top w:val="nil"/>
              <w:left w:val="nil"/>
              <w:bottom w:val="single" w:sz="4" w:space="0" w:color="auto"/>
              <w:right w:val="single" w:sz="4" w:space="0" w:color="auto"/>
            </w:tcBorders>
            <w:vAlign w:val="center"/>
            <w:hideMark/>
          </w:tcPr>
          <w:p w14:paraId="0E3A49B5"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w:t>
            </w:r>
          </w:p>
        </w:tc>
        <w:tc>
          <w:tcPr>
            <w:tcW w:w="1700" w:type="dxa"/>
            <w:tcBorders>
              <w:top w:val="nil"/>
              <w:left w:val="nil"/>
              <w:bottom w:val="single" w:sz="4" w:space="0" w:color="auto"/>
              <w:right w:val="single" w:sz="4" w:space="0" w:color="auto"/>
            </w:tcBorders>
            <w:shd w:val="clear" w:color="000000" w:fill="FFFFFF"/>
            <w:noWrap/>
            <w:vAlign w:val="center"/>
            <w:hideMark/>
          </w:tcPr>
          <w:p w14:paraId="6D2A705B"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w:t>
            </w:r>
          </w:p>
        </w:tc>
      </w:tr>
      <w:tr w:rsidR="00A070B1" w:rsidRPr="00C24D02" w14:paraId="43F31B86" w14:textId="77777777" w:rsidTr="00602B69">
        <w:trPr>
          <w:trHeight w:val="300"/>
        </w:trPr>
        <w:tc>
          <w:tcPr>
            <w:tcW w:w="2040" w:type="dxa"/>
            <w:tcBorders>
              <w:top w:val="nil"/>
              <w:left w:val="single" w:sz="4" w:space="0" w:color="auto"/>
              <w:bottom w:val="single" w:sz="4" w:space="0" w:color="auto"/>
              <w:right w:val="single" w:sz="4" w:space="0" w:color="auto"/>
            </w:tcBorders>
            <w:shd w:val="clear" w:color="000000" w:fill="9BC2E6"/>
            <w:noWrap/>
            <w:vAlign w:val="center"/>
            <w:hideMark/>
          </w:tcPr>
          <w:p w14:paraId="7ECD92FD" w14:textId="77777777" w:rsidR="00A070B1" w:rsidRPr="00C24D02" w:rsidRDefault="00A070B1" w:rsidP="00A070B1">
            <w:pPr>
              <w:suppressAutoHyphens w:val="0"/>
              <w:rPr>
                <w:rFonts w:asciiTheme="minorHAnsi" w:hAnsiTheme="minorHAnsi" w:cstheme="minorHAnsi"/>
                <w:b/>
                <w:bCs/>
                <w:color w:val="000000"/>
                <w:sz w:val="22"/>
                <w:szCs w:val="22"/>
              </w:rPr>
            </w:pPr>
            <w:r w:rsidRPr="00C24D02">
              <w:rPr>
                <w:rFonts w:asciiTheme="minorHAnsi" w:hAnsiTheme="minorHAnsi" w:cstheme="minorHAnsi"/>
                <w:b/>
                <w:bCs/>
                <w:color w:val="000000"/>
                <w:sz w:val="22"/>
                <w:szCs w:val="22"/>
              </w:rPr>
              <w:t>MŽP</w:t>
            </w:r>
          </w:p>
        </w:tc>
        <w:tc>
          <w:tcPr>
            <w:tcW w:w="4460" w:type="dxa"/>
            <w:tcBorders>
              <w:top w:val="nil"/>
              <w:left w:val="nil"/>
              <w:bottom w:val="single" w:sz="4" w:space="0" w:color="auto"/>
              <w:right w:val="single" w:sz="4" w:space="0" w:color="auto"/>
            </w:tcBorders>
            <w:shd w:val="clear" w:color="000000" w:fill="DDEBF7"/>
            <w:vAlign w:val="center"/>
            <w:hideMark/>
          </w:tcPr>
          <w:p w14:paraId="2F8CEE0B" w14:textId="77777777" w:rsidR="00A070B1" w:rsidRPr="00C24D02" w:rsidRDefault="00A070B1" w:rsidP="00A070B1">
            <w:pPr>
              <w:suppressAutoHyphens w:val="0"/>
              <w:rPr>
                <w:rFonts w:asciiTheme="minorHAnsi" w:hAnsiTheme="minorHAnsi" w:cstheme="minorHAnsi"/>
                <w:color w:val="000000"/>
                <w:sz w:val="22"/>
                <w:szCs w:val="22"/>
              </w:rPr>
            </w:pPr>
            <w:r w:rsidRPr="00C24D02">
              <w:rPr>
                <w:rFonts w:asciiTheme="minorHAnsi" w:hAnsiTheme="minorHAnsi" w:cstheme="minorHAnsi"/>
                <w:color w:val="000000"/>
                <w:sz w:val="22"/>
                <w:szCs w:val="22"/>
              </w:rPr>
              <w:t>Výzkumný ústav vodohospodářský</w:t>
            </w:r>
          </w:p>
        </w:tc>
        <w:tc>
          <w:tcPr>
            <w:tcW w:w="1000" w:type="dxa"/>
            <w:tcBorders>
              <w:top w:val="nil"/>
              <w:left w:val="nil"/>
              <w:bottom w:val="single" w:sz="4" w:space="0" w:color="auto"/>
              <w:right w:val="single" w:sz="4" w:space="0" w:color="auto"/>
            </w:tcBorders>
            <w:vAlign w:val="center"/>
            <w:hideMark/>
          </w:tcPr>
          <w:p w14:paraId="4C94F8D5"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1</w:t>
            </w:r>
          </w:p>
        </w:tc>
        <w:tc>
          <w:tcPr>
            <w:tcW w:w="1700" w:type="dxa"/>
            <w:tcBorders>
              <w:top w:val="nil"/>
              <w:left w:val="nil"/>
              <w:bottom w:val="single" w:sz="4" w:space="0" w:color="auto"/>
              <w:right w:val="single" w:sz="4" w:space="0" w:color="auto"/>
            </w:tcBorders>
            <w:shd w:val="clear" w:color="000000" w:fill="FFFFFF"/>
            <w:noWrap/>
            <w:vAlign w:val="center"/>
            <w:hideMark/>
          </w:tcPr>
          <w:p w14:paraId="0A1ADF3F" w14:textId="77777777" w:rsidR="00A070B1" w:rsidRPr="00C24D02" w:rsidRDefault="00A070B1" w:rsidP="00A070B1">
            <w:pPr>
              <w:suppressAutoHyphens w:val="0"/>
              <w:jc w:val="center"/>
              <w:rPr>
                <w:rFonts w:asciiTheme="minorHAnsi" w:hAnsiTheme="minorHAnsi" w:cstheme="minorHAnsi"/>
                <w:color w:val="000000"/>
                <w:sz w:val="22"/>
                <w:szCs w:val="22"/>
              </w:rPr>
            </w:pPr>
            <w:r w:rsidRPr="00C24D02">
              <w:rPr>
                <w:rFonts w:asciiTheme="minorHAnsi" w:hAnsiTheme="minorHAnsi" w:cstheme="minorHAnsi"/>
                <w:color w:val="000000"/>
                <w:sz w:val="22"/>
                <w:szCs w:val="22"/>
              </w:rPr>
              <w:t>OP1</w:t>
            </w:r>
          </w:p>
        </w:tc>
      </w:tr>
    </w:tbl>
    <w:p w14:paraId="339BEAAA" w14:textId="77777777" w:rsidR="00246F41" w:rsidRPr="00C24D02" w:rsidRDefault="00246F41" w:rsidP="00D65CC8">
      <w:pPr>
        <w:ind w:firstLine="360"/>
        <w:contextualSpacing/>
        <w:jc w:val="both"/>
        <w:rPr>
          <w:rFonts w:asciiTheme="minorHAnsi" w:hAnsiTheme="minorHAnsi" w:cstheme="minorHAnsi"/>
          <w:b/>
          <w:sz w:val="22"/>
          <w:szCs w:val="22"/>
          <w:highlight w:val="yellow"/>
        </w:rPr>
      </w:pPr>
    </w:p>
    <w:p w14:paraId="7BD60B77" w14:textId="77777777" w:rsidR="00D65CC8" w:rsidRPr="00C24D02" w:rsidRDefault="00D65CC8" w:rsidP="00D65CC8">
      <w:pPr>
        <w:spacing w:after="144" w:line="360" w:lineRule="auto"/>
        <w:rPr>
          <w:rFonts w:asciiTheme="minorHAnsi" w:hAnsiTheme="minorHAnsi" w:cstheme="minorHAnsi"/>
          <w:sz w:val="22"/>
          <w:szCs w:val="22"/>
        </w:rPr>
      </w:pPr>
    </w:p>
    <w:p w14:paraId="59140A73" w14:textId="77777777" w:rsidR="00B8177D" w:rsidRPr="00C24D02" w:rsidRDefault="00D65CC8" w:rsidP="00704870">
      <w:pPr>
        <w:pStyle w:val="Nadpis1"/>
        <w:numPr>
          <w:ilvl w:val="0"/>
          <w:numId w:val="1"/>
        </w:numPr>
        <w:spacing w:before="480" w:after="480" w:line="360" w:lineRule="auto"/>
        <w:ind w:left="714" w:hanging="357"/>
        <w:rPr>
          <w:rFonts w:asciiTheme="minorHAnsi" w:hAnsiTheme="minorHAnsi" w:cstheme="minorHAnsi"/>
          <w:sz w:val="22"/>
          <w:szCs w:val="22"/>
        </w:rPr>
      </w:pPr>
      <w:r w:rsidRPr="00C24D02">
        <w:rPr>
          <w:rFonts w:asciiTheme="minorHAnsi" w:hAnsiTheme="minorHAnsi" w:cstheme="minorHAnsi"/>
          <w:sz w:val="22"/>
          <w:szCs w:val="22"/>
        </w:rPr>
        <w:br w:type="page"/>
      </w:r>
      <w:bookmarkStart w:id="1" w:name="_Hlk218590268"/>
      <w:bookmarkStart w:id="2" w:name="_Toc221799814"/>
      <w:r w:rsidR="00B8177D" w:rsidRPr="00C24D02">
        <w:rPr>
          <w:rFonts w:asciiTheme="minorHAnsi" w:hAnsiTheme="minorHAnsi" w:cstheme="minorHAnsi"/>
          <w:sz w:val="22"/>
          <w:szCs w:val="22"/>
        </w:rPr>
        <w:lastRenderedPageBreak/>
        <w:t>Opakované podání výsledku</w:t>
      </w:r>
      <w:bookmarkEnd w:id="1"/>
      <w:bookmarkEnd w:id="2"/>
    </w:p>
    <w:p w14:paraId="70E1BA9C" w14:textId="77777777" w:rsidR="00B8177D" w:rsidRPr="00C24D02" w:rsidRDefault="00B8177D" w:rsidP="00B8177D">
      <w:pPr>
        <w:rPr>
          <w:rFonts w:asciiTheme="minorHAnsi" w:hAnsiTheme="minorHAnsi" w:cstheme="minorHAnsi"/>
          <w:lang w:eastAsia="zh-CN"/>
        </w:rPr>
      </w:pP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2535898A" w14:textId="77777777" w:rsidTr="003D1A59">
        <w:tc>
          <w:tcPr>
            <w:tcW w:w="2405" w:type="dxa"/>
          </w:tcPr>
          <w:p w14:paraId="1EC0F4E6"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B7FE9B4" w14:textId="77777777" w:rsidR="00B8177D" w:rsidRPr="00C24D02" w:rsidRDefault="00B8177D" w:rsidP="003D1A59">
            <w:pPr>
              <w:spacing w:after="144" w:line="360" w:lineRule="auto"/>
              <w:jc w:val="both"/>
              <w:rPr>
                <w:rFonts w:asciiTheme="minorHAnsi" w:eastAsia="Calibri" w:hAnsiTheme="minorHAnsi" w:cstheme="minorHAnsi"/>
              </w:rPr>
            </w:pPr>
            <w:bookmarkStart w:id="3" w:name="_Hlk218590284"/>
            <w:r w:rsidRPr="00C24D02">
              <w:rPr>
                <w:rFonts w:asciiTheme="minorHAnsi" w:eastAsia="Calibri" w:hAnsiTheme="minorHAnsi" w:cstheme="minorHAnsi"/>
              </w:rPr>
              <w:t>Botanický ústav AV ČR</w:t>
            </w:r>
            <w:bookmarkEnd w:id="3"/>
          </w:p>
        </w:tc>
      </w:tr>
      <w:tr w:rsidR="00B8177D" w:rsidRPr="00C24D02" w14:paraId="0930DF60" w14:textId="77777777" w:rsidTr="003D1A59">
        <w:tc>
          <w:tcPr>
            <w:tcW w:w="2405" w:type="dxa"/>
          </w:tcPr>
          <w:p w14:paraId="11EA4362"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327CEAE"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192347793</w:t>
            </w:r>
          </w:p>
        </w:tc>
      </w:tr>
      <w:tr w:rsidR="00B8177D" w:rsidRPr="00C24D02" w14:paraId="5AE89F80" w14:textId="77777777" w:rsidTr="003D1A59">
        <w:trPr>
          <w:trHeight w:val="741"/>
        </w:trPr>
        <w:tc>
          <w:tcPr>
            <w:tcW w:w="2405" w:type="dxa"/>
          </w:tcPr>
          <w:p w14:paraId="32F62A83"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8C9A5C1" w14:textId="77777777" w:rsidR="00B8177D" w:rsidRPr="00C24D02" w:rsidRDefault="00B8177D" w:rsidP="003D1A59">
            <w:pPr>
              <w:spacing w:after="144" w:line="360" w:lineRule="auto"/>
              <w:jc w:val="both"/>
              <w:rPr>
                <w:rFonts w:asciiTheme="minorHAnsi" w:eastAsia="Calibri" w:hAnsiTheme="minorHAnsi" w:cstheme="minorHAnsi"/>
              </w:rPr>
            </w:pPr>
            <w:bookmarkStart w:id="4" w:name="_Hlk218590324"/>
            <w:r w:rsidRPr="00C24D02">
              <w:rPr>
                <w:rFonts w:asciiTheme="minorHAnsi" w:eastAsia="Calibri" w:hAnsiTheme="minorHAnsi" w:cstheme="minorHAnsi"/>
              </w:rPr>
              <w:t>Projecting the continental accumulation of alien species through to 2050</w:t>
            </w:r>
            <w:bookmarkEnd w:id="4"/>
          </w:p>
        </w:tc>
      </w:tr>
      <w:tr w:rsidR="00B8177D" w:rsidRPr="00C24D02" w14:paraId="1E755EE7" w14:textId="77777777" w:rsidTr="003D1A59">
        <w:tc>
          <w:tcPr>
            <w:tcW w:w="2405" w:type="dxa"/>
          </w:tcPr>
          <w:p w14:paraId="293BC8CB"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592DEAC"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B8177D" w:rsidRPr="00C24D02" w14:paraId="0FDE9F9F" w14:textId="77777777" w:rsidTr="003D1A59">
        <w:tc>
          <w:tcPr>
            <w:tcW w:w="2405" w:type="dxa"/>
          </w:tcPr>
          <w:p w14:paraId="17C6857C"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35FB970D"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1685CBEC" w14:textId="77777777" w:rsidTr="003D1A59">
        <w:tc>
          <w:tcPr>
            <w:tcW w:w="2405" w:type="dxa"/>
          </w:tcPr>
          <w:p w14:paraId="6A9E5EB1"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3"/>
            </w:r>
            <w:r w:rsidRPr="00C24D02">
              <w:rPr>
                <w:rFonts w:asciiTheme="minorHAnsi" w:eastAsia="Calibri" w:hAnsiTheme="minorHAnsi" w:cstheme="minorHAnsi"/>
              </w:rPr>
              <w:t>)</w:t>
            </w:r>
          </w:p>
        </w:tc>
        <w:tc>
          <w:tcPr>
            <w:tcW w:w="6378" w:type="dxa"/>
          </w:tcPr>
          <w:p w14:paraId="58A39486"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2/2/-/N/</w:t>
            </w:r>
            <w:r w:rsidRPr="00C24D02">
              <w:rPr>
                <w:rFonts w:asciiTheme="minorHAnsi" w:eastAsia="Calibri" w:hAnsiTheme="minorHAnsi" w:cstheme="minorHAnsi"/>
                <w:b/>
                <w:bCs/>
              </w:rPr>
              <w:t>N</w:t>
            </w:r>
          </w:p>
        </w:tc>
      </w:tr>
      <w:tr w:rsidR="00B8177D" w:rsidRPr="00C24D02" w14:paraId="77EED4EF" w14:textId="77777777" w:rsidTr="003D1A59">
        <w:tc>
          <w:tcPr>
            <w:tcW w:w="2405" w:type="dxa"/>
          </w:tcPr>
          <w:p w14:paraId="25ECDE26"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B13213D"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N.</w:t>
            </w:r>
          </w:p>
        </w:tc>
      </w:tr>
    </w:tbl>
    <w:p w14:paraId="206BC25F" w14:textId="77777777" w:rsidR="00B8177D" w:rsidRPr="00C24D02" w:rsidRDefault="00B8177D" w:rsidP="00B8177D">
      <w:pPr>
        <w:spacing w:after="144" w:line="360" w:lineRule="auto"/>
        <w:rPr>
          <w:rFonts w:asciiTheme="minorHAnsi" w:hAnsiTheme="minorHAnsi" w:cstheme="minorHAnsi"/>
        </w:rPr>
      </w:pPr>
    </w:p>
    <w:p w14:paraId="610C7F91"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Opakované podání stejného výsledku</w:t>
      </w:r>
    </w:p>
    <w:p w14:paraId="3786BB56"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6CDAE07"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V posudku se uvádí, že zdůvodnění přínosu je nepravdivé. Nepravdivé je však naopak tvrzení, které mělo tento závěr doložit (Přínos Dr. Pyška k tomuto výsledku byl již v předchozím hodnocení vykázán Českou zemědělskou univerzitou v Praze, přičemž v dané publikaci je Dr. Pyšek jediným autorem s touto afiliací.). Jediným autorem s afiliací ČZU v dané publikaci je Andrew M. Liebhold20,21*. Petr Pyšek má v dané publikaci afiliaci k Botanickému ústavu AV ČR a k Přírodovědecké fakultě UK, jeho přínos tedy nemohl být vykázán Českou zemědělskou univerzitou v Praze. Přínos J. Pergla (který má v publikaci afiliaci pouze k Botanickému ústavu AV ČR) specifikován byl, je citován i v posudku. Domníváme se, že hodnocení udělené v předchozím hodnoticím období by mělo být uděleno i nyní, a žádáme o zveřejnění opravy nepravdivých tvrzení.</w:t>
      </w:r>
    </w:p>
    <w:p w14:paraId="5B9A2FF0"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lastRenderedPageBreak/>
        <w:t>Stanovisko garanta</w:t>
      </w:r>
      <w:r w:rsidRPr="00C24D02">
        <w:rPr>
          <w:rFonts w:asciiTheme="minorHAnsi" w:hAnsiTheme="minorHAnsi" w:cstheme="minorHAnsi"/>
        </w:rPr>
        <w:t>: Autoři ve svém odvolání upozorňují na uvedení nesprávné informace týkající se druhé afiliace Dr. Pyška ve zdůvodnění hodnocení a dále na možnou chybu při posouzení přínosu Botanického ústavu AV ČR (BÚ) ke vzniku výsledku ze strany panelu. Ve vztahu k údaji o afiliaci Dr. Pyška panel shledává tuto námitku oprávněnou. Ve zdůvodnění bylo chybně uvedeno, že druhou afiliací je „Česká zemědělská univerzita v Praze“, namísto správně uvedené „Přírodovědecké fakulty UK“. Pokud jde o údajnou chybu v posouzení vlastního přínosu instituce ke vzniku výsledku, panel i nadále považuje věcné zdůvodnění předložené BÚ za nedostatečné. Současně panel nepovažuje za relevantní námitku, že předložený výsledek byl u jiné instituce připuštěn na základě jednoho spoluautora. Panel upozorňuje, že tvůrčí přínos instituce se neposuzuje podle počtu autorů, ale podle zdůvodnění VO.</w:t>
      </w:r>
    </w:p>
    <w:p w14:paraId="452DEB85"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N.</w:t>
      </w:r>
    </w:p>
    <w:p w14:paraId="0DB12549"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Při hodnocení je nutno postupovat dle oddílu 4.2 Zajištění podkladů pro hodnocení vybraného výsledku, písmene j), bodu 3. Postupu</w:t>
      </w:r>
      <w:r w:rsidRPr="00C24D02">
        <w:rPr>
          <w:rStyle w:val="Znakapoznpodarou"/>
          <w:rFonts w:asciiTheme="minorHAnsi" w:hAnsiTheme="minorHAnsi" w:cstheme="minorHAnsi"/>
        </w:rPr>
        <w:footnoteReference w:id="4"/>
      </w:r>
      <w:r w:rsidRPr="00C24D02">
        <w:rPr>
          <w:rFonts w:asciiTheme="minorHAnsi" w:hAnsiTheme="minorHAnsi" w:cstheme="minorHAnsi"/>
        </w:rPr>
        <w:t>, ve kterém je uvedeno: „</w:t>
      </w:r>
      <w:r w:rsidRPr="00C24D02">
        <w:rPr>
          <w:rFonts w:asciiTheme="minorHAnsi" w:hAnsiTheme="minorHAnsi" w:cstheme="minorHAnsi"/>
          <w:i/>
          <w:iCs/>
        </w:rPr>
        <w:t>V případě, že je tentýž výsledek předložen k hodnocení různými VO v různých letech hodnocení, výsledek již není znovu hodnocen a přebírá se dřívější hodnocení. Garant hodnocení vybraných výsledků stejně jako v bodě 1 posoudí podíl instituce předkládající výsledek v jiném roce hodnocení, a pokud usoudí (a v hodnocení také zdůvodní), že podíl předkládající instituce je marginální, hodnocení výsledku z dřívějšího hodnocení přebráno nebude a výsledek bude pro tuto instituci z hodnocení vyřazen (hodnocen známkou N).“</w:t>
      </w:r>
    </w:p>
    <w:p w14:paraId="19CC7C04" w14:textId="3CC4EEE1"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vyjádřením panelu; zdůvodnění přínosu instituce je shrnuto v jedné větě a je nedostatečné. Navíc v samotné publikaci jsou v „Author Contribution“ specifikováni pouze čtyři autoři, zatímco autoři z BÚ jsou zahrnuti do „all authors“. KHV opakovaně upozorňuje, že u výsledků vzniklých ve spolupráci několika institucí a nominovaných k hodnocení v Modulu M1 je nezbytné podrobně zdůvodnit podíl předkládající organizace na výsledku. Do Modulu M1 je vhodné předkládat zejména výsledky, kde jsou autoři </w:t>
      </w:r>
      <w:r w:rsidRPr="00C24D02">
        <w:rPr>
          <w:rFonts w:asciiTheme="minorHAnsi" w:hAnsiTheme="minorHAnsi" w:cstheme="minorHAnsi"/>
        </w:rPr>
        <w:lastRenderedPageBreak/>
        <w:t>z předkládající instituce uvedeni jako první nebo korespondenční, aby byl zásadní přínos předkládající instituce nezpochybnitelný.</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56520C60" w14:textId="77777777" w:rsidTr="003D1A59">
        <w:tc>
          <w:tcPr>
            <w:tcW w:w="2405" w:type="dxa"/>
          </w:tcPr>
          <w:p w14:paraId="54BE6A50"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9" w:type="dxa"/>
          </w:tcPr>
          <w:p w14:paraId="28015622"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Botanický ústav AV ČR</w:t>
            </w:r>
          </w:p>
        </w:tc>
      </w:tr>
      <w:tr w:rsidR="00B8177D" w:rsidRPr="00C24D02" w14:paraId="1753B3A3" w14:textId="77777777" w:rsidTr="003D1A59">
        <w:tc>
          <w:tcPr>
            <w:tcW w:w="2405" w:type="dxa"/>
          </w:tcPr>
          <w:p w14:paraId="24B1974B"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9" w:type="dxa"/>
          </w:tcPr>
          <w:p w14:paraId="4C05D89C"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192255228</w:t>
            </w:r>
          </w:p>
        </w:tc>
      </w:tr>
      <w:tr w:rsidR="00B8177D" w:rsidRPr="00C24D02" w14:paraId="25B7C334" w14:textId="77777777" w:rsidTr="003D1A59">
        <w:trPr>
          <w:trHeight w:val="741"/>
        </w:trPr>
        <w:tc>
          <w:tcPr>
            <w:tcW w:w="2405" w:type="dxa"/>
          </w:tcPr>
          <w:p w14:paraId="011F3B53"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9" w:type="dxa"/>
          </w:tcPr>
          <w:p w14:paraId="2633A117"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Synchrony matters more than species richness in plant community stability at a global scale</w:t>
            </w:r>
          </w:p>
        </w:tc>
      </w:tr>
      <w:tr w:rsidR="00B8177D" w:rsidRPr="00C24D02" w14:paraId="6B88A792" w14:textId="77777777" w:rsidTr="003D1A59">
        <w:tc>
          <w:tcPr>
            <w:tcW w:w="2405" w:type="dxa"/>
          </w:tcPr>
          <w:p w14:paraId="15C86AB0"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9" w:type="dxa"/>
          </w:tcPr>
          <w:p w14:paraId="44B19407"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B8177D" w:rsidRPr="00C24D02" w14:paraId="48EFEAC8" w14:textId="77777777" w:rsidTr="003D1A59">
        <w:tc>
          <w:tcPr>
            <w:tcW w:w="2405" w:type="dxa"/>
          </w:tcPr>
          <w:p w14:paraId="7491781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9" w:type="dxa"/>
          </w:tcPr>
          <w:p w14:paraId="0BB8BB23"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38560383" w14:textId="77777777" w:rsidTr="003D1A59">
        <w:tc>
          <w:tcPr>
            <w:tcW w:w="2405" w:type="dxa"/>
          </w:tcPr>
          <w:p w14:paraId="370ED5EB"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5"/>
            </w:r>
            <w:r w:rsidRPr="00C24D02">
              <w:rPr>
                <w:rFonts w:asciiTheme="minorHAnsi" w:eastAsia="Calibri" w:hAnsiTheme="minorHAnsi" w:cstheme="minorHAnsi"/>
              </w:rPr>
              <w:t>)</w:t>
            </w:r>
          </w:p>
        </w:tc>
        <w:tc>
          <w:tcPr>
            <w:tcW w:w="6379" w:type="dxa"/>
          </w:tcPr>
          <w:p w14:paraId="4F317B5A"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w:t>
            </w:r>
            <w:r w:rsidRPr="00C24D02">
              <w:rPr>
                <w:rFonts w:asciiTheme="minorHAnsi" w:eastAsia="Calibri" w:hAnsiTheme="minorHAnsi" w:cstheme="minorHAnsi"/>
                <w:b/>
                <w:bCs/>
              </w:rPr>
              <w:t>2</w:t>
            </w:r>
          </w:p>
        </w:tc>
      </w:tr>
      <w:tr w:rsidR="00B8177D" w:rsidRPr="00C24D02" w14:paraId="470CE9CD" w14:textId="77777777" w:rsidTr="003D1A59">
        <w:tc>
          <w:tcPr>
            <w:tcW w:w="2405" w:type="dxa"/>
          </w:tcPr>
          <w:p w14:paraId="56D18DEF"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9" w:type="dxa"/>
          </w:tcPr>
          <w:p w14:paraId="403EDF65"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2.</w:t>
            </w:r>
          </w:p>
        </w:tc>
      </w:tr>
    </w:tbl>
    <w:p w14:paraId="55723B95" w14:textId="77777777" w:rsidR="00B8177D" w:rsidRPr="00C24D02" w:rsidRDefault="00B8177D" w:rsidP="00B8177D">
      <w:pPr>
        <w:spacing w:after="144" w:line="360" w:lineRule="auto"/>
        <w:rPr>
          <w:rFonts w:asciiTheme="minorHAnsi" w:hAnsiTheme="minorHAnsi" w:cstheme="minorHAnsi"/>
        </w:rPr>
      </w:pPr>
    </w:p>
    <w:p w14:paraId="1A64A25E"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Opakované podání stejného výsledku</w:t>
      </w:r>
    </w:p>
    <w:p w14:paraId="21B59E75"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F8CABB8"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Výstup je výsledkem široké spolupráce, financované zejména společným projektem uděleným Jihočeské univerzitě a Botanickému ústavu AV ČR*. Tuto skutečnost jsme ve vysvětlení podílu instituce neuvedli, napříště tak v podobných případech učiníme. Přínos pracovišť považujeme za rovnocenný i s přihlédnutím k vícenásobným afiliacím (např. seniorní autor L. Götzenberger měl dominantní úvazek v BÚ a v projektu byl navrhovatelem za BÚ). Uznáváme, že vysvětlení podílu mohlo být vnímáno jako nedostatečné, musíme se však ohradit proti zmínce o „nákupu“ vědeckých výsledků v závěru posudku, která na ústav vrhá stín podezření z neetického jednání (a to jen proto, že BÚ přihlásil výsledek později než JU). Domníváme se, že před zveřejněním podobných závěrů by v případě pochybností bylo vhodné si vyžádat doplňující vysvětlení. Žádáme o zveřejnění poznámky k posudku, ve které bude vyloučeno využití nastíněné praxe Botanickým ústavem.</w:t>
      </w:r>
    </w:p>
    <w:p w14:paraId="62A49B0B"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lastRenderedPageBreak/>
        <w:t>Stanovisko garanta</w:t>
      </w:r>
      <w:r w:rsidRPr="00C24D02">
        <w:rPr>
          <w:rFonts w:asciiTheme="minorHAnsi" w:hAnsiTheme="minorHAnsi" w:cstheme="minorHAnsi"/>
        </w:rPr>
        <w:t>: Autoři ve svém odvolání žádají o možnost zveřejnění poznámky k posudku. V poznámce se autoři omlouvají za nedostatečné zdůvodnění přínosu instituce a úvádějí doplňující informace k přínosu instituce.</w:t>
      </w:r>
    </w:p>
    <w:p w14:paraId="5FDCCFBC"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Námitka nemá vliv na hodnocení výsledku. Panel souhlasí s uveřejněním poznámky.</w:t>
      </w:r>
    </w:p>
    <w:p w14:paraId="351A37DD" w14:textId="77777777" w:rsidR="00B8177D" w:rsidRPr="00C24D02" w:rsidRDefault="00B8177D" w:rsidP="00B8177D">
      <w:pPr>
        <w:spacing w:before="240" w:after="144" w:line="360" w:lineRule="auto"/>
        <w:jc w:val="both"/>
        <w:rPr>
          <w:rFonts w:asciiTheme="minorHAnsi" w:hAnsiTheme="minorHAnsi" w:cstheme="minorHAnsi"/>
          <w:u w:val="single"/>
        </w:rPr>
      </w:pPr>
      <w:r w:rsidRPr="00C24D02">
        <w:rPr>
          <w:rFonts w:asciiTheme="minorHAnsi" w:hAnsiTheme="minorHAnsi" w:cstheme="minorHAnsi"/>
          <w:b/>
          <w:bCs/>
          <w:u w:val="single"/>
        </w:rPr>
        <w:t xml:space="preserve">Vyjádření Sekce pro vědu, výzkum a inovace: </w:t>
      </w:r>
      <w:r w:rsidRPr="00C24D02">
        <w:rPr>
          <w:rFonts w:asciiTheme="minorHAnsi" w:hAnsiTheme="minorHAnsi" w:cstheme="minorHAnsi"/>
          <w:u w:val="single"/>
        </w:rPr>
        <w:t>bez vyjádření.</w:t>
      </w:r>
    </w:p>
    <w:p w14:paraId="610A3836" w14:textId="6A0D0015"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vyjádřením panelu a uznává, že poslední věta v hodnocení panelisty je subjektivní a do posudku nepatří. KHV doporučuje tuto větu ze zveřejněných posudků odstranit.</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32981D00" w14:textId="77777777" w:rsidTr="003D1A59">
        <w:tc>
          <w:tcPr>
            <w:tcW w:w="2405" w:type="dxa"/>
          </w:tcPr>
          <w:p w14:paraId="601B5DD6"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9" w:type="dxa"/>
          </w:tcPr>
          <w:p w14:paraId="14EBBC01"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Česká zemědělská univerzita v Praze - Fakulta lesnická a dřevařská</w:t>
            </w:r>
          </w:p>
        </w:tc>
      </w:tr>
      <w:tr w:rsidR="00B8177D" w:rsidRPr="00C24D02" w14:paraId="6FBDF8DF" w14:textId="77777777" w:rsidTr="003D1A59">
        <w:tc>
          <w:tcPr>
            <w:tcW w:w="2405" w:type="dxa"/>
          </w:tcPr>
          <w:p w14:paraId="109D4A0A"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9" w:type="dxa"/>
          </w:tcPr>
          <w:p w14:paraId="7D2E2E95"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192482538</w:t>
            </w:r>
          </w:p>
        </w:tc>
      </w:tr>
      <w:tr w:rsidR="00B8177D" w:rsidRPr="00C24D02" w14:paraId="591F8BAB" w14:textId="77777777" w:rsidTr="003D1A59">
        <w:trPr>
          <w:trHeight w:val="741"/>
        </w:trPr>
        <w:tc>
          <w:tcPr>
            <w:tcW w:w="2405" w:type="dxa"/>
          </w:tcPr>
          <w:p w14:paraId="66016ED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9" w:type="dxa"/>
          </w:tcPr>
          <w:p w14:paraId="6005C9E7"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The 2018 European heatwave led to stem dehydration but not to consistent growth reductions in forests</w:t>
            </w:r>
            <w:bookmarkStart w:id="5" w:name="_Hlk218590592"/>
            <w:bookmarkEnd w:id="5"/>
          </w:p>
        </w:tc>
      </w:tr>
      <w:tr w:rsidR="00B8177D" w:rsidRPr="00C24D02" w14:paraId="297A93BE" w14:textId="77777777" w:rsidTr="003D1A59">
        <w:tc>
          <w:tcPr>
            <w:tcW w:w="2405" w:type="dxa"/>
          </w:tcPr>
          <w:p w14:paraId="2A3DF66A"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9" w:type="dxa"/>
          </w:tcPr>
          <w:p w14:paraId="26230B70"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4.1.</w:t>
            </w:r>
          </w:p>
        </w:tc>
      </w:tr>
      <w:tr w:rsidR="00B8177D" w:rsidRPr="00C24D02" w14:paraId="0B2F35EE" w14:textId="77777777" w:rsidTr="003D1A59">
        <w:tc>
          <w:tcPr>
            <w:tcW w:w="2405" w:type="dxa"/>
          </w:tcPr>
          <w:p w14:paraId="5E82A182"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9" w:type="dxa"/>
          </w:tcPr>
          <w:p w14:paraId="547AEEFD"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64436202" w14:textId="77777777" w:rsidTr="003D1A59">
        <w:tc>
          <w:tcPr>
            <w:tcW w:w="2405" w:type="dxa"/>
          </w:tcPr>
          <w:p w14:paraId="2D34B30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6"/>
            </w:r>
            <w:r w:rsidRPr="00C24D02">
              <w:rPr>
                <w:rFonts w:asciiTheme="minorHAnsi" w:eastAsia="Calibri" w:hAnsiTheme="minorHAnsi" w:cstheme="minorHAnsi"/>
              </w:rPr>
              <w:t>)</w:t>
            </w:r>
          </w:p>
        </w:tc>
        <w:tc>
          <w:tcPr>
            <w:tcW w:w="6379" w:type="dxa"/>
          </w:tcPr>
          <w:p w14:paraId="59C48C33"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w:t>
            </w:r>
          </w:p>
        </w:tc>
      </w:tr>
      <w:tr w:rsidR="00B8177D" w:rsidRPr="00C24D02" w14:paraId="0382B73B" w14:textId="77777777" w:rsidTr="003D1A59">
        <w:tc>
          <w:tcPr>
            <w:tcW w:w="2405" w:type="dxa"/>
          </w:tcPr>
          <w:p w14:paraId="0813CCA2"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9" w:type="dxa"/>
          </w:tcPr>
          <w:p w14:paraId="7A9E1786" w14:textId="77777777" w:rsidR="00B8177D" w:rsidRPr="00C24D02" w:rsidRDefault="00B8177D"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1.</w:t>
            </w:r>
          </w:p>
          <w:p w14:paraId="1DF9641F" w14:textId="77777777" w:rsidR="00B8177D" w:rsidRPr="00C24D02" w:rsidRDefault="00B8177D" w:rsidP="003D1A59">
            <w:pPr>
              <w:widowControl w:val="0"/>
              <w:spacing w:after="144" w:line="360" w:lineRule="auto"/>
              <w:rPr>
                <w:rFonts w:asciiTheme="minorHAnsi" w:eastAsia="Calibri" w:hAnsiTheme="minorHAnsi" w:cstheme="minorHAnsi"/>
                <w:b/>
              </w:rPr>
            </w:pPr>
          </w:p>
        </w:tc>
      </w:tr>
    </w:tbl>
    <w:p w14:paraId="48BC0E3A" w14:textId="77777777" w:rsidR="00B8177D" w:rsidRPr="00C24D02" w:rsidRDefault="00B8177D" w:rsidP="00B8177D">
      <w:pPr>
        <w:spacing w:after="144" w:line="360" w:lineRule="auto"/>
        <w:rPr>
          <w:rFonts w:asciiTheme="minorHAnsi" w:hAnsiTheme="minorHAnsi" w:cstheme="minorHAnsi"/>
        </w:rPr>
      </w:pPr>
    </w:p>
    <w:p w14:paraId="717A9EF5"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Opakované podání stejného výsledku</w:t>
      </w:r>
    </w:p>
    <w:p w14:paraId="08311FAF"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F9927A8"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V rámci hodnocení tohoto článku bylo odborným panelem stanoveno hodnocení: </w:t>
      </w:r>
    </w:p>
    <w:p w14:paraId="119342E2"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i/>
          <w:iCs/>
        </w:rPr>
        <w:lastRenderedPageBreak/>
        <w:t xml:space="preserve">„Výsledek byl již dříve hodnocen, přihlašovatel byl Ústav globální změny AV ČR. Výsledek byl přihlášen do Biologických věd. Vzhledem k tomu, že výsledek je přihlášen do stejného kritéria (přínos k poznání) a je třeba uznat multioborový charakter výsledku, lze i s přihlédnutím ke zřetelnému autorskému podílu FLD ČZU přebrat minulé hodnocení.“ </w:t>
      </w:r>
    </w:p>
    <w:p w14:paraId="59798C53"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 rámci tohoto odvolání si dovolujeme upozornit na zásadní skutečnost, a to že výstup naší institucí nebyl přihlášen do Biologických věd, ale přihlášen v oboru: 4.1 Agriculture, Forestry, and Fisheries (kritérium – přínos k poznání). </w:t>
      </w:r>
    </w:p>
    <w:p w14:paraId="27093D25"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Tento výstup byl již přihlášen do hodnocení vybraných výsledků v tomto oboru a tomto kritériu: </w:t>
      </w:r>
    </w:p>
    <w:p w14:paraId="287B8AFC"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I) Výzkumný ústav lesního hospodářství a myslivosti, v.v.i., (evidenční číslo: 192438962) </w:t>
      </w:r>
    </w:p>
    <w:p w14:paraId="268FB785"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II) Mendelova univerzita v Brně / Lesnická a dřevařská fakulta (evidenční číslo: 192427129).</w:t>
      </w:r>
    </w:p>
    <w:p w14:paraId="72803837"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Domníváme se, že v tomto případě by se mělo jednoznačně postupovat </w:t>
      </w:r>
      <w:r w:rsidRPr="00C24D02">
        <w:rPr>
          <w:rFonts w:asciiTheme="minorHAnsi" w:hAnsiTheme="minorHAnsi" w:cstheme="minorHAnsi"/>
          <w:b/>
          <w:bCs/>
        </w:rPr>
        <w:t xml:space="preserve">dle M17+, </w:t>
      </w:r>
      <w:r w:rsidRPr="00C24D02">
        <w:rPr>
          <w:rFonts w:asciiTheme="minorHAnsi" w:hAnsiTheme="minorHAnsi" w:cstheme="minorHAnsi"/>
        </w:rPr>
        <w:t xml:space="preserve">konkrétně „Uživatelské příručky pro výzkumné organizace, členy Odborných panelů, externí hodnotitele a poskytovatele institucionální podpory VaVaI“ (dále příručka), podle které </w:t>
      </w:r>
      <w:r w:rsidRPr="00C24D02">
        <w:rPr>
          <w:rFonts w:asciiTheme="minorHAnsi" w:hAnsiTheme="minorHAnsi" w:cstheme="minorHAnsi"/>
          <w:b/>
          <w:bCs/>
        </w:rPr>
        <w:t>se již dříve předložený výstup různými VO nehodnotí a přebírá dřívější hodnocení, jestliže se jedná o stejný vědní obor a stejné hodnocené kritérium</w:t>
      </w:r>
      <w:r w:rsidRPr="00C24D02">
        <w:rPr>
          <w:rFonts w:asciiTheme="minorHAnsi" w:hAnsiTheme="minorHAnsi" w:cstheme="minorHAnsi"/>
        </w:rPr>
        <w:t xml:space="preserve">. </w:t>
      </w:r>
    </w:p>
    <w:p w14:paraId="3BF97A16"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Výstup jsme </w:t>
      </w:r>
      <w:r w:rsidRPr="00C24D02">
        <w:rPr>
          <w:rFonts w:asciiTheme="minorHAnsi" w:hAnsiTheme="minorHAnsi" w:cstheme="minorHAnsi"/>
          <w:b/>
          <w:bCs/>
        </w:rPr>
        <w:t xml:space="preserve">předložili ve stejném vědním oboru „40102 – Forestry“ </w:t>
      </w:r>
      <w:r w:rsidRPr="00C24D02">
        <w:rPr>
          <w:rFonts w:asciiTheme="minorHAnsi" w:hAnsiTheme="minorHAnsi" w:cstheme="minorHAnsi"/>
        </w:rPr>
        <w:t xml:space="preserve">(Vědní oblast: 4. Agricultural and veterinary sciences) a </w:t>
      </w:r>
      <w:r w:rsidRPr="00C24D02">
        <w:rPr>
          <w:rFonts w:asciiTheme="minorHAnsi" w:hAnsiTheme="minorHAnsi" w:cstheme="minorHAnsi"/>
          <w:b/>
          <w:bCs/>
        </w:rPr>
        <w:t>ve stejném kritériu „Přínos k poznání“</w:t>
      </w:r>
      <w:r w:rsidRPr="00C24D02">
        <w:rPr>
          <w:rFonts w:asciiTheme="minorHAnsi" w:hAnsiTheme="minorHAnsi" w:cstheme="minorHAnsi"/>
        </w:rPr>
        <w:t>, ve kterých proběhla předchozí hodnocení (</w:t>
      </w:r>
      <w:r w:rsidRPr="00C24D02">
        <w:rPr>
          <w:rFonts w:asciiTheme="minorHAnsi" w:hAnsiTheme="minorHAnsi" w:cstheme="minorHAnsi"/>
          <w:b/>
          <w:bCs/>
        </w:rPr>
        <w:t>H23</w:t>
      </w:r>
      <w:r w:rsidRPr="00C24D02">
        <w:rPr>
          <w:rFonts w:asciiTheme="minorHAnsi" w:hAnsiTheme="minorHAnsi" w:cstheme="minorHAnsi"/>
        </w:rPr>
        <w:t xml:space="preserve">) – </w:t>
      </w:r>
      <w:r w:rsidRPr="00C24D02">
        <w:rPr>
          <w:rFonts w:asciiTheme="minorHAnsi" w:hAnsiTheme="minorHAnsi" w:cstheme="minorHAnsi"/>
          <w:b/>
          <w:bCs/>
        </w:rPr>
        <w:t xml:space="preserve">výsledné hodnocení 1 </w:t>
      </w:r>
      <w:r w:rsidRPr="00C24D02">
        <w:rPr>
          <w:rFonts w:asciiTheme="minorHAnsi" w:hAnsiTheme="minorHAnsi" w:cstheme="minorHAnsi"/>
        </w:rPr>
        <w:t>(Evidenční číslo: 192438962, resp. 192427129), což jsme v odůvodnění explicitně uváděli…..</w:t>
      </w:r>
    </w:p>
    <w:p w14:paraId="6CCD6B3E"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b/>
          <w:bCs/>
          <w:color w:val="000000"/>
        </w:rPr>
        <w:t xml:space="preserve"> </w:t>
      </w:r>
      <w:r w:rsidRPr="00C24D02">
        <w:rPr>
          <w:rFonts w:asciiTheme="minorHAnsi" w:hAnsiTheme="minorHAnsi" w:cstheme="minorHAnsi"/>
          <w:b/>
          <w:bCs/>
        </w:rPr>
        <w:t>Vzhledem k výše uvedenému žádáme o převzetí dřívějšího hodnocení výstupu pro naši instituci z oboru, ve kterém jsme ji přihlásili do hodnocení (H24), tedy v „4.1 Agriculture, Forestry, and Fisheries (kritérium „Přínos k poznání“), kde byla hodnocena „Finální známkou 1“, a to v souladu s M17+ a uživatelskou příručkou.</w:t>
      </w:r>
    </w:p>
    <w:p w14:paraId="1F980DC8"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Při hodnocení došlo nedopatřením k převzetí hodnocení z oblasti biologických věd, kde tento výstup byl hodnocen známkou 2, a loňská hodnocení známkou 1 v našem panelu byla přehlédnuta. Podle pravidel se samozřejmě musí převzít hodnocení ze stejné vědecké oblasti, pokud je k dispozici, v tomto případě hodnocení 1.</w:t>
      </w:r>
    </w:p>
    <w:p w14:paraId="275566A2"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 xml:space="preserve">Panel navrhuje námitce vyhovět a udělit hodnocení 1. </w:t>
      </w:r>
    </w:p>
    <w:p w14:paraId="124F1871" w14:textId="77777777" w:rsidR="00B8177D" w:rsidRPr="00C24D02" w:rsidRDefault="00B8177D" w:rsidP="00B8177D">
      <w:pPr>
        <w:spacing w:before="240" w:after="144" w:line="360" w:lineRule="auto"/>
        <w:jc w:val="both"/>
        <w:rPr>
          <w:rFonts w:asciiTheme="minorHAnsi" w:hAnsiTheme="minorHAnsi" w:cstheme="minorHAnsi"/>
          <w:b/>
          <w:u w:val="single"/>
        </w:rPr>
      </w:pPr>
      <w:r w:rsidRPr="00C24D02">
        <w:rPr>
          <w:rFonts w:asciiTheme="minorHAnsi" w:hAnsiTheme="minorHAnsi" w:cstheme="minorHAnsi"/>
          <w:b/>
          <w:u w:val="single"/>
        </w:rPr>
        <w:lastRenderedPageBreak/>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p>
    <w:p w14:paraId="7F695461"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rPr>
        <w:t>Při hodnocení je nutno postupovat dle oddílu 4.2 Zajištění podkladů pro hodnocení vybraného výsledku, písmene j), bodu 3. Postupu</w:t>
      </w:r>
      <w:r w:rsidRPr="00C24D02">
        <w:rPr>
          <w:rStyle w:val="Znakapoznpodarou"/>
          <w:rFonts w:asciiTheme="minorHAnsi" w:hAnsiTheme="minorHAnsi" w:cstheme="minorHAnsi"/>
        </w:rPr>
        <w:footnoteReference w:id="7"/>
      </w:r>
      <w:r w:rsidRPr="00C24D02">
        <w:rPr>
          <w:rFonts w:asciiTheme="minorHAnsi" w:hAnsiTheme="minorHAnsi" w:cstheme="minorHAnsi"/>
        </w:rPr>
        <w:t>, ve kterém je uvedeno: „</w:t>
      </w:r>
      <w:r w:rsidRPr="00C24D02">
        <w:rPr>
          <w:rFonts w:asciiTheme="minorHAnsi" w:hAnsiTheme="minorHAnsi" w:cstheme="minorHAnsi"/>
          <w:i/>
          <w:iCs/>
        </w:rPr>
        <w:t>V případě, že je tentýž výsledek předložen k hodnocení různými VO v různých letech hodnocení, výsledek již není znovu hodnocen a přebírá se dřívější hodnocení. Garant hodnocení vybraných výsledků stejně jako v bodě 1 posoudí podíl instituce předkládající výsledek v jiném roce hodnocení, a pokud usoudí (a v hodnocení také zdůvodní), že podíl předkládající instituce je marginální, hodnocení výsledku z dřívějšího hodnocení přebráno nebude a výsledek bude pro tuto instituci z hodnocení vyřazen (hodnocen známkou N).“</w:t>
      </w:r>
    </w:p>
    <w:p w14:paraId="028D60D7" w14:textId="0FC91760"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vyjádřením panelu a změnou hodnocení na stupeň 1. </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4E6090A6" w14:textId="77777777" w:rsidTr="003D1A59">
        <w:tc>
          <w:tcPr>
            <w:tcW w:w="2405" w:type="dxa"/>
          </w:tcPr>
          <w:p w14:paraId="04C8C79D"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59E8BA9"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Vysoká škola chemicko-technologická v Praze</w:t>
            </w:r>
          </w:p>
        </w:tc>
      </w:tr>
      <w:tr w:rsidR="00B8177D" w:rsidRPr="00C24D02" w14:paraId="29C0E14D" w14:textId="77777777" w:rsidTr="003D1A59">
        <w:tc>
          <w:tcPr>
            <w:tcW w:w="2405" w:type="dxa"/>
          </w:tcPr>
          <w:p w14:paraId="699A1F1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8A76B01"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192242798</w:t>
            </w:r>
          </w:p>
        </w:tc>
      </w:tr>
      <w:tr w:rsidR="00B8177D" w:rsidRPr="00C24D02" w14:paraId="1986FD4C" w14:textId="77777777" w:rsidTr="003D1A59">
        <w:trPr>
          <w:trHeight w:val="741"/>
        </w:trPr>
        <w:tc>
          <w:tcPr>
            <w:tcW w:w="2405" w:type="dxa"/>
          </w:tcPr>
          <w:p w14:paraId="67901BF0"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E8CC5A5"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Stanovení vybraných fytokanabinoidů v olejové matrici</w:t>
            </w:r>
            <w:bookmarkStart w:id="6" w:name="_Hlk218590805"/>
            <w:bookmarkEnd w:id="6"/>
          </w:p>
        </w:tc>
      </w:tr>
      <w:tr w:rsidR="00B8177D" w:rsidRPr="00C24D02" w14:paraId="514C18A6" w14:textId="77777777" w:rsidTr="003D1A59">
        <w:tc>
          <w:tcPr>
            <w:tcW w:w="2405" w:type="dxa"/>
          </w:tcPr>
          <w:p w14:paraId="6AB0027B"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D5C1986"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w:t>
            </w:r>
          </w:p>
        </w:tc>
      </w:tr>
      <w:tr w:rsidR="00B8177D" w:rsidRPr="00C24D02" w14:paraId="025EF846" w14:textId="77777777" w:rsidTr="003D1A59">
        <w:tc>
          <w:tcPr>
            <w:tcW w:w="2405" w:type="dxa"/>
          </w:tcPr>
          <w:p w14:paraId="6F5A7297"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BEB0655"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B8177D" w:rsidRPr="00C24D02" w14:paraId="3ADA8749" w14:textId="77777777" w:rsidTr="003D1A59">
        <w:tc>
          <w:tcPr>
            <w:tcW w:w="2405" w:type="dxa"/>
          </w:tcPr>
          <w:p w14:paraId="10673F9E"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8"/>
            </w:r>
            <w:r w:rsidRPr="00C24D02">
              <w:rPr>
                <w:rFonts w:asciiTheme="minorHAnsi" w:eastAsia="Calibri" w:hAnsiTheme="minorHAnsi" w:cstheme="minorHAnsi"/>
              </w:rPr>
              <w:t>)</w:t>
            </w:r>
          </w:p>
        </w:tc>
        <w:tc>
          <w:tcPr>
            <w:tcW w:w="6378" w:type="dxa"/>
          </w:tcPr>
          <w:p w14:paraId="64004DFD"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w:t>
            </w:r>
          </w:p>
          <w:p w14:paraId="7ABCDF96" w14:textId="77777777" w:rsidR="00B8177D" w:rsidRPr="00C24D02" w:rsidRDefault="00B8177D" w:rsidP="003D1A59">
            <w:pPr>
              <w:spacing w:after="144" w:line="360" w:lineRule="auto"/>
              <w:jc w:val="both"/>
              <w:rPr>
                <w:rFonts w:asciiTheme="minorHAnsi" w:eastAsia="Calibri" w:hAnsiTheme="minorHAnsi" w:cstheme="minorHAnsi"/>
              </w:rPr>
            </w:pPr>
          </w:p>
        </w:tc>
      </w:tr>
      <w:tr w:rsidR="00B8177D" w:rsidRPr="00C24D02" w14:paraId="34C94413" w14:textId="77777777" w:rsidTr="003D1A59">
        <w:tc>
          <w:tcPr>
            <w:tcW w:w="2405" w:type="dxa"/>
          </w:tcPr>
          <w:p w14:paraId="6C84D6DB"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F337982"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28454A32" w14:textId="77777777" w:rsidR="00B8177D" w:rsidRPr="00C24D02" w:rsidRDefault="00B8177D" w:rsidP="00B8177D">
      <w:pPr>
        <w:spacing w:after="144" w:line="360" w:lineRule="auto"/>
        <w:rPr>
          <w:rFonts w:asciiTheme="minorHAnsi" w:hAnsiTheme="minorHAnsi" w:cstheme="minorHAnsi"/>
        </w:rPr>
      </w:pPr>
      <w:bookmarkStart w:id="7" w:name="_Hlk214845609"/>
    </w:p>
    <w:p w14:paraId="053C29F9"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Výsledek s významným přínosem společnosti</w:t>
      </w:r>
    </w:p>
    <w:p w14:paraId="7022E5B5"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05D35010" w14:textId="77777777" w:rsidR="00B8177D" w:rsidRPr="00C24D02" w:rsidRDefault="00B8177D" w:rsidP="00B8177D">
      <w:pPr>
        <w:spacing w:after="144" w:line="360" w:lineRule="auto"/>
        <w:ind w:firstLine="142"/>
        <w:jc w:val="both"/>
        <w:rPr>
          <w:rFonts w:asciiTheme="minorHAnsi" w:hAnsiTheme="minorHAnsi" w:cstheme="minorHAnsi"/>
        </w:rPr>
      </w:pPr>
      <w:r w:rsidRPr="00C24D02">
        <w:rPr>
          <w:rFonts w:asciiTheme="minorHAnsi" w:hAnsiTheme="minorHAnsi" w:cstheme="minorHAnsi"/>
          <w:b/>
          <w:bCs/>
        </w:rPr>
        <w:lastRenderedPageBreak/>
        <w:t xml:space="preserve">Odvolání vůči přiloženým posudkům a jeho zdůvodnění: </w:t>
      </w:r>
      <w:r w:rsidRPr="00C24D02">
        <w:rPr>
          <w:rFonts w:asciiTheme="minorHAnsi" w:hAnsiTheme="minorHAnsi" w:cstheme="minorHAnsi"/>
        </w:rPr>
        <w:t xml:space="preserve">Nebiblio výsledek s evidenčním číslem 192242798 hodnocený v MODULU 1 obdržel finální známku 4, i přestože se dle názoru vedení Fakulty potravinářské a biochemické technologie (VŠCHT Praha) jedná o originální výsledek s významným přínosem společnost. Hodnocení 4 v případě kritéria společenská relevance je zpravidla přiřazováno výsledkům, které svou originalitou nepřekračují současný stav v dané aplikační oblasti. Takový výsledek má v praxi omezené společenské dopady a potenciál uplatnění výsledku je významně limitován. </w:t>
      </w:r>
    </w:p>
    <w:p w14:paraId="16B31A4E"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S tímto škálováním nesouhlasíme, neboť je metoda aktivně využívána v laboratoři odboru technických a přírodovědných zkoumání na Kriminalistickém ústavu. Tímto je jasně doloženo aktivní uplatnění výsledku. Problematika fytokanabinoidů a jejich analýzy je aktuální i v r. 2025 a má dopad na celou společnost v ČR. Přiložené hodnocení považujeme za vágní a nedostatečně zdůvodněné. Hodnocení nedává fakultě skutečnou a užitečnou zpětnou vazbu a rovněž devalvuje práci autorů nebiblio výsledku i vedení fakulty, které se na přípravě výstupu podílelo. Dle názoru fakulty je studie při nejmenším originální a přináší významné poznatky v oboru analýzy fytokanabinoidů. Z výše uvedeného plyne, že Nebiblio výsledek již nalezl uplatnění, je aktivně využíván, je zde celospolečenská poptávka a výstupy certifikované metodiky mají jasně deklarovaný přínos. </w:t>
      </w:r>
    </w:p>
    <w:p w14:paraId="7004E76B"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Výzkumná organizace se odvolává proti hodnocení výsledku stupněm 4. Známka byla převzata z hodnocení stejného výsledku přihlášeného jinou organizací (NUDZ) v roce 2021. Výsledek byl hodnocen podle stejného kritéria a ve stejném FORD a podle platných pravidel přejímá i stejné hodnocení, které bylo již jednou schváleno panelem. Zdůvodnění aktuálně hodnoceného výsledku je téměř identické jako zdůvodnění výsledku z roku 2021 druhou institucí a obsahuje zejména popis metodiky. Popis společenské relevance je nastíněn pouze v obecné rovině, např. že lze očekávat zvýšený zájem o stanovení konopných produktů. Nejsou diskutovány konkrétní přínosy výsledku pro společnost ani např. ekonomická rozvaha jeho přínosu. Jeho společenské dopady tak nejsou z popisu zřejmé. Po prostudování dostupných informací panel setrvává na hodnocení 4.</w:t>
      </w:r>
    </w:p>
    <w:p w14:paraId="072EDFD9"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2C4E3192"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lastRenderedPageBreak/>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Při hodnocení je nutno postupovat dle oddílu 4.2 Zajištění podkladů pro hodnocení vybraného výsledku, písmene j), bodu 3. Postupu</w:t>
      </w:r>
      <w:r w:rsidRPr="00C24D02">
        <w:rPr>
          <w:rStyle w:val="Znakapoznpodarou"/>
          <w:rFonts w:asciiTheme="minorHAnsi" w:eastAsiaTheme="majorEastAsia" w:hAnsiTheme="minorHAnsi" w:cstheme="minorHAnsi"/>
        </w:rPr>
        <w:footnoteReference w:id="9"/>
      </w:r>
      <w:r w:rsidRPr="00C24D02">
        <w:rPr>
          <w:rFonts w:asciiTheme="minorHAnsi" w:hAnsiTheme="minorHAnsi" w:cstheme="minorHAnsi"/>
        </w:rPr>
        <w:t>, ve kterém je uvedeno: „</w:t>
      </w:r>
      <w:r w:rsidRPr="00C24D02">
        <w:rPr>
          <w:rFonts w:asciiTheme="minorHAnsi" w:hAnsiTheme="minorHAnsi" w:cstheme="minorHAnsi"/>
          <w:i/>
          <w:iCs/>
        </w:rPr>
        <w:t xml:space="preserve">V případě, že je tentýž výsledek předložen k hodnocení různými VO v různých letech hodnocení, výsledek již není znovu hodnocen a přebírá se dřívější hodnocení. Garant hodnocení vybraných výsledků stejně jako v bodě 1 posoudí podíl instituce předkládající výsledek v jiném roce hodnocení, a pokud usoudí (a v hodnocení také zdůvodní), že podíl předkládající instituce je marginální, hodnocení výsledku z dřívějšího hodnocení přebráno nebude a výsledek bude pro tuto instituci z hodnocení vyřazen (hodnocen známkou N).“ </w:t>
      </w:r>
    </w:p>
    <w:p w14:paraId="4ED0682F"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ponecháním původního hodnocení, které bylo uděleno podle platných pravidel. </w:t>
      </w:r>
      <w:bookmarkEnd w:id="7"/>
    </w:p>
    <w:p w14:paraId="2C39AB1E" w14:textId="77777777" w:rsidR="00B8177D" w:rsidRPr="00C24D02" w:rsidRDefault="00B8177D" w:rsidP="00B8177D">
      <w:pPr>
        <w:rPr>
          <w:rFonts w:asciiTheme="minorHAnsi" w:hAnsiTheme="minorHAnsi" w:cstheme="minorHAnsi"/>
        </w:rPr>
      </w:pPr>
    </w:p>
    <w:p w14:paraId="5D82C30C" w14:textId="3D083DBB" w:rsidR="00B8177D" w:rsidRPr="00C24D02" w:rsidRDefault="00B8177D">
      <w:pPr>
        <w:suppressAutoHyphens w:val="0"/>
        <w:spacing w:after="160" w:line="259" w:lineRule="auto"/>
        <w:rPr>
          <w:rFonts w:asciiTheme="minorHAnsi" w:hAnsiTheme="minorHAnsi" w:cstheme="minorHAnsi"/>
          <w:sz w:val="22"/>
          <w:szCs w:val="22"/>
        </w:rPr>
      </w:pPr>
      <w:r w:rsidRPr="00C24D02">
        <w:rPr>
          <w:rFonts w:asciiTheme="minorHAnsi" w:hAnsiTheme="minorHAnsi" w:cstheme="minorHAnsi"/>
          <w:sz w:val="22"/>
          <w:szCs w:val="22"/>
        </w:rPr>
        <w:br w:type="page"/>
      </w:r>
    </w:p>
    <w:p w14:paraId="615CDBB4" w14:textId="36E50C64" w:rsidR="00B8177D" w:rsidRPr="003C778F" w:rsidRDefault="00B8177D" w:rsidP="00B8177D">
      <w:pPr>
        <w:pStyle w:val="Nadpis1"/>
        <w:numPr>
          <w:ilvl w:val="0"/>
          <w:numId w:val="1"/>
        </w:numPr>
        <w:spacing w:before="480" w:after="480" w:line="360" w:lineRule="auto"/>
        <w:ind w:left="714" w:hanging="357"/>
        <w:rPr>
          <w:rFonts w:asciiTheme="minorHAnsi" w:hAnsiTheme="minorHAnsi" w:cstheme="minorHAnsi"/>
          <w:sz w:val="22"/>
          <w:szCs w:val="22"/>
        </w:rPr>
      </w:pPr>
      <w:bookmarkStart w:id="8" w:name="_Toc221799815"/>
      <w:r w:rsidRPr="00C24D02">
        <w:rPr>
          <w:rFonts w:asciiTheme="minorHAnsi" w:hAnsiTheme="minorHAnsi" w:cstheme="minorHAnsi"/>
          <w:sz w:val="22"/>
          <w:szCs w:val="22"/>
        </w:rPr>
        <w:lastRenderedPageBreak/>
        <w:t>Problematika (ne)dostatečných podílů</w:t>
      </w:r>
      <w:bookmarkEnd w:id="8"/>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0C8E3FA9" w14:textId="77777777" w:rsidTr="003D1A59">
        <w:tc>
          <w:tcPr>
            <w:tcW w:w="2405" w:type="dxa"/>
          </w:tcPr>
          <w:p w14:paraId="42656C32" w14:textId="77777777" w:rsidR="00B8177D" w:rsidRPr="00C24D02" w:rsidRDefault="00B8177D" w:rsidP="003D1A59">
            <w:pPr>
              <w:spacing w:after="144" w:line="360" w:lineRule="auto"/>
              <w:rPr>
                <w:rFonts w:asciiTheme="minorHAnsi" w:eastAsia="Calibri" w:hAnsiTheme="minorHAnsi" w:cstheme="minorHAnsi"/>
              </w:rPr>
            </w:pPr>
            <w:bookmarkStart w:id="9" w:name="_Hlk218591021"/>
            <w:bookmarkEnd w:id="9"/>
            <w:r w:rsidRPr="00C24D02">
              <w:rPr>
                <w:rFonts w:asciiTheme="minorHAnsi" w:eastAsia="Calibri" w:hAnsiTheme="minorHAnsi" w:cstheme="minorHAnsi"/>
              </w:rPr>
              <w:t>Instituce</w:t>
            </w:r>
          </w:p>
        </w:tc>
        <w:tc>
          <w:tcPr>
            <w:tcW w:w="6378" w:type="dxa"/>
          </w:tcPr>
          <w:p w14:paraId="47F491E8"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České vysoké učení technické v Praze</w:t>
            </w:r>
          </w:p>
        </w:tc>
      </w:tr>
      <w:tr w:rsidR="00B8177D" w:rsidRPr="00C24D02" w14:paraId="2595FC2F" w14:textId="77777777" w:rsidTr="003D1A59">
        <w:tc>
          <w:tcPr>
            <w:tcW w:w="2405" w:type="dxa"/>
          </w:tcPr>
          <w:p w14:paraId="482CE9B8"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E0F21F0"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192229190</w:t>
            </w:r>
          </w:p>
        </w:tc>
      </w:tr>
      <w:tr w:rsidR="00B8177D" w:rsidRPr="00C24D02" w14:paraId="1CBC2089" w14:textId="77777777" w:rsidTr="003D1A59">
        <w:trPr>
          <w:trHeight w:val="741"/>
        </w:trPr>
        <w:tc>
          <w:tcPr>
            <w:tcW w:w="2405" w:type="dxa"/>
          </w:tcPr>
          <w:p w14:paraId="05F864A1"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53927E4"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Highly luminous supernovae associated with gamma-ray bursts I. GRB 111209A/SN 2011kl in the context of stripped-envelope and superluminous supernovae</w:t>
            </w:r>
            <w:bookmarkStart w:id="10" w:name="_Hlk218591080"/>
            <w:bookmarkEnd w:id="10"/>
          </w:p>
        </w:tc>
      </w:tr>
      <w:tr w:rsidR="00B8177D" w:rsidRPr="00C24D02" w14:paraId="1ED1790F" w14:textId="77777777" w:rsidTr="003D1A59">
        <w:tc>
          <w:tcPr>
            <w:tcW w:w="2405" w:type="dxa"/>
          </w:tcPr>
          <w:p w14:paraId="7838DEEA"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8CCAB39"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1.3.</w:t>
            </w:r>
          </w:p>
        </w:tc>
      </w:tr>
      <w:tr w:rsidR="00B8177D" w:rsidRPr="00C24D02" w14:paraId="4DB250F2" w14:textId="77777777" w:rsidTr="003D1A59">
        <w:tc>
          <w:tcPr>
            <w:tcW w:w="2405" w:type="dxa"/>
          </w:tcPr>
          <w:p w14:paraId="651DF5A3"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965491A"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018D8B4C" w14:textId="77777777" w:rsidTr="003D1A59">
        <w:tc>
          <w:tcPr>
            <w:tcW w:w="2405" w:type="dxa"/>
          </w:tcPr>
          <w:p w14:paraId="4CD84056"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0"/>
            </w:r>
            <w:r w:rsidRPr="00C24D02">
              <w:rPr>
                <w:rFonts w:asciiTheme="minorHAnsi" w:eastAsia="Calibri" w:hAnsiTheme="minorHAnsi" w:cstheme="minorHAnsi"/>
              </w:rPr>
              <w:t>)</w:t>
            </w:r>
          </w:p>
        </w:tc>
        <w:tc>
          <w:tcPr>
            <w:tcW w:w="6378" w:type="dxa"/>
          </w:tcPr>
          <w:p w14:paraId="1F28F6B7"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w:t>
            </w:r>
            <w:r w:rsidRPr="00C24D02">
              <w:rPr>
                <w:rFonts w:asciiTheme="minorHAnsi" w:eastAsia="Calibri" w:hAnsiTheme="minorHAnsi" w:cstheme="minorHAnsi"/>
                <w:b/>
                <w:bCs/>
              </w:rPr>
              <w:t>N</w:t>
            </w:r>
          </w:p>
        </w:tc>
      </w:tr>
      <w:tr w:rsidR="00B8177D" w:rsidRPr="00C24D02" w14:paraId="0056E8FC" w14:textId="77777777" w:rsidTr="003D1A59">
        <w:tc>
          <w:tcPr>
            <w:tcW w:w="2405" w:type="dxa"/>
          </w:tcPr>
          <w:p w14:paraId="2E259AA8"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3AAF3C6"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N.</w:t>
            </w:r>
          </w:p>
        </w:tc>
      </w:tr>
    </w:tbl>
    <w:p w14:paraId="2134B296" w14:textId="77777777" w:rsidR="00B8177D" w:rsidRPr="00C24D02" w:rsidRDefault="00B8177D" w:rsidP="00B8177D">
      <w:pPr>
        <w:spacing w:after="144" w:line="360" w:lineRule="auto"/>
        <w:rPr>
          <w:rFonts w:asciiTheme="minorHAnsi" w:hAnsiTheme="minorHAnsi" w:cstheme="minorHAnsi"/>
        </w:rPr>
      </w:pPr>
    </w:p>
    <w:p w14:paraId="7DB3F051"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Podíl autora a VO</w:t>
      </w:r>
    </w:p>
    <w:p w14:paraId="7B175B1E"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A0F8C4D"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rPr>
        <w:t xml:space="preserve">S uvedeným závěrem nesouhlasíme, protože je věcně nepodložený a vychází z nesprávné interpretace časového a obsahového podílu autora R. Filgase na výsledku. Uvádíme následující argumenty, týkající se </w:t>
      </w:r>
      <w:r w:rsidRPr="00C24D02">
        <w:rPr>
          <w:rFonts w:asciiTheme="minorHAnsi" w:hAnsiTheme="minorHAnsi" w:cstheme="minorHAnsi"/>
          <w:b/>
          <w:bCs/>
        </w:rPr>
        <w:t>časové souvislosti mezi vznikem výsledku a působením autora v ÚTEF ČVUT:</w:t>
      </w:r>
    </w:p>
    <w:p w14:paraId="5186504C" w14:textId="77777777" w:rsidR="00B8177D" w:rsidRPr="00C24D02" w:rsidRDefault="00B8177D" w:rsidP="00B8177D">
      <w:pPr>
        <w:numPr>
          <w:ilvl w:val="0"/>
          <w:numId w:val="4"/>
        </w:numPr>
        <w:spacing w:before="240" w:after="144" w:line="360" w:lineRule="auto"/>
        <w:jc w:val="both"/>
        <w:rPr>
          <w:rFonts w:asciiTheme="minorHAnsi" w:hAnsiTheme="minorHAnsi" w:cstheme="minorHAnsi"/>
        </w:rPr>
      </w:pPr>
      <w:r w:rsidRPr="00C24D02">
        <w:rPr>
          <w:rFonts w:asciiTheme="minorHAnsi" w:hAnsiTheme="minorHAnsi" w:cstheme="minorHAnsi"/>
        </w:rPr>
        <w:t xml:space="preserve">GRB záblesk asociovaný se supernovou SN 2011kl, analyzovaný v publikaci, byl zaznamenán v r. 2011 (konkrétně </w:t>
      </w:r>
      <w:r w:rsidRPr="00C24D02">
        <w:rPr>
          <w:rFonts w:asciiTheme="minorHAnsi" w:hAnsiTheme="minorHAnsi" w:cstheme="minorHAnsi"/>
          <w:b/>
          <w:bCs/>
        </w:rPr>
        <w:t>9. prosince 2011</w:t>
      </w:r>
      <w:r w:rsidRPr="00C24D02">
        <w:rPr>
          <w:rFonts w:asciiTheme="minorHAnsi" w:hAnsiTheme="minorHAnsi" w:cstheme="minorHAnsi"/>
        </w:rPr>
        <w:t>).</w:t>
      </w:r>
    </w:p>
    <w:p w14:paraId="28C343C9" w14:textId="77777777" w:rsidR="00B8177D" w:rsidRPr="00C24D02" w:rsidRDefault="00B8177D" w:rsidP="00B8177D">
      <w:pPr>
        <w:numPr>
          <w:ilvl w:val="0"/>
          <w:numId w:val="4"/>
        </w:numPr>
        <w:spacing w:before="240" w:after="144" w:line="360" w:lineRule="auto"/>
        <w:jc w:val="both"/>
        <w:rPr>
          <w:rFonts w:asciiTheme="minorHAnsi" w:hAnsiTheme="minorHAnsi" w:cstheme="minorHAnsi"/>
        </w:rPr>
      </w:pPr>
      <w:r w:rsidRPr="00C24D02">
        <w:rPr>
          <w:rFonts w:asciiTheme="minorHAnsi" w:hAnsiTheme="minorHAnsi" w:cstheme="minorHAnsi"/>
        </w:rPr>
        <w:t xml:space="preserve">Robert Filgas je </w:t>
      </w:r>
      <w:r w:rsidRPr="00C24D02">
        <w:rPr>
          <w:rFonts w:asciiTheme="minorHAnsi" w:hAnsiTheme="minorHAnsi" w:cstheme="minorHAnsi"/>
          <w:b/>
          <w:bCs/>
        </w:rPr>
        <w:t>od února 2012 zaměstnancem ÚTEF ČVUT</w:t>
      </w:r>
      <w:r w:rsidRPr="00C24D02">
        <w:rPr>
          <w:rFonts w:asciiTheme="minorHAnsi" w:hAnsiTheme="minorHAnsi" w:cstheme="minorHAnsi"/>
        </w:rPr>
        <w:t xml:space="preserve"> (uvedeno v textu zdůvodnění). V té době ještě nebyla k dispozici všechna data ani analýzy potřebné k přípravě publikace (dosvit supernovy SN 2011kl byl pozorován po dobu mnoha </w:t>
      </w:r>
      <w:r w:rsidRPr="00C24D02">
        <w:rPr>
          <w:rFonts w:asciiTheme="minorHAnsi" w:hAnsiTheme="minorHAnsi" w:cstheme="minorHAnsi"/>
        </w:rPr>
        <w:lastRenderedPageBreak/>
        <w:t xml:space="preserve">týdnů). </w:t>
      </w:r>
      <w:r w:rsidRPr="00C24D02">
        <w:rPr>
          <w:rFonts w:asciiTheme="minorHAnsi" w:hAnsiTheme="minorHAnsi" w:cstheme="minorHAnsi"/>
          <w:b/>
          <w:bCs/>
        </w:rPr>
        <w:t>Nebylo tedy možné, aby „podstatná část podílu jediného spoluautora za předkládající VO na této práci vznikla během jeho působení na pracovišti v Mnichově“</w:t>
      </w:r>
      <w:r w:rsidRPr="00C24D02">
        <w:rPr>
          <w:rFonts w:asciiTheme="minorHAnsi" w:hAnsiTheme="minorHAnsi" w:cstheme="minorHAnsi"/>
        </w:rPr>
        <w:t>, jak je uvedeno v rozhodnutí oborového panelu.</w:t>
      </w:r>
    </w:p>
    <w:p w14:paraId="660C3721" w14:textId="77777777" w:rsidR="00B8177D" w:rsidRPr="00C24D02" w:rsidRDefault="00B8177D" w:rsidP="00B8177D">
      <w:pPr>
        <w:numPr>
          <w:ilvl w:val="0"/>
          <w:numId w:val="4"/>
        </w:numPr>
        <w:spacing w:before="240" w:after="144" w:line="360" w:lineRule="auto"/>
        <w:jc w:val="both"/>
        <w:rPr>
          <w:rFonts w:asciiTheme="minorHAnsi" w:hAnsiTheme="minorHAnsi" w:cstheme="minorHAnsi"/>
        </w:rPr>
      </w:pPr>
      <w:r w:rsidRPr="00C24D02">
        <w:rPr>
          <w:rFonts w:asciiTheme="minorHAnsi" w:hAnsiTheme="minorHAnsi" w:cstheme="minorHAnsi"/>
        </w:rPr>
        <w:t xml:space="preserve">Od příchodu do ÚTEF ČVUT až do současnosti se R. Filgas aktivně podílel na </w:t>
      </w:r>
      <w:r w:rsidRPr="00C24D02">
        <w:rPr>
          <w:rFonts w:asciiTheme="minorHAnsi" w:hAnsiTheme="minorHAnsi" w:cstheme="minorHAnsi"/>
          <w:b/>
          <w:bCs/>
        </w:rPr>
        <w:t xml:space="preserve">analýze dat a interpretaci výsledků </w:t>
      </w:r>
      <w:r w:rsidRPr="00C24D02">
        <w:rPr>
          <w:rFonts w:asciiTheme="minorHAnsi" w:hAnsiTheme="minorHAnsi" w:cstheme="minorHAnsi"/>
        </w:rPr>
        <w:t xml:space="preserve">(uvedeno v textu zdůvodnění), což je doloženo jeho dlouhodobou spoluautorskou činností v rámci projektu GROND - 44 článků, 8 konferenčních příspěvků (uvedeno ve zdůvodnění), naprostá většina s afiliací ÚTEF ČVUT. Že R. Filgas měl předpoklady být aktivně zapojen do experimentu GROND od doby </w:t>
      </w:r>
      <w:r w:rsidRPr="00C24D02">
        <w:rPr>
          <w:rFonts w:asciiTheme="minorHAnsi" w:hAnsiTheme="minorHAnsi" w:cstheme="minorHAnsi"/>
          <w:b/>
          <w:bCs/>
        </w:rPr>
        <w:t>bezprostředně</w:t>
      </w:r>
      <w:r w:rsidRPr="00C24D02">
        <w:rPr>
          <w:rFonts w:asciiTheme="minorHAnsi" w:hAnsiTheme="minorHAnsi" w:cstheme="minorHAnsi"/>
        </w:rPr>
        <w:t> po příchodu do ÚTEF ČVUT vyplývá z faktu, že během svého Ph.D. studia již byl svými aktivitami plně zapojen do experimentu GROND a měl tak zkušenosti potřebné pro další aktivní působení v experimentu, nyní již v rámci zaměstnaneckého poměru v ÚTEF ČVUT (rovněž podrobně doloženo ve zdůvodnění). Výsledek a další aktivity R. Filgase v rámci experimentu GROND v době působení v ÚTEF ČVUT byly integrovány do výzkumných aktivit VO (ve zdůvodnění uveden OPVVV projekt No. CZ.02.1.01/0.0/0.0/16_019/0000766).</w:t>
      </w:r>
    </w:p>
    <w:p w14:paraId="7DABE745" w14:textId="77777777" w:rsidR="00B8177D" w:rsidRPr="00C24D02" w:rsidRDefault="00B8177D" w:rsidP="00B8177D">
      <w:pPr>
        <w:numPr>
          <w:ilvl w:val="0"/>
          <w:numId w:val="4"/>
        </w:numPr>
        <w:spacing w:before="240" w:after="144" w:line="360" w:lineRule="auto"/>
        <w:jc w:val="both"/>
        <w:rPr>
          <w:rFonts w:asciiTheme="minorHAnsi" w:hAnsiTheme="minorHAnsi" w:cstheme="minorHAnsi"/>
        </w:rPr>
      </w:pPr>
      <w:r w:rsidRPr="00C24D02">
        <w:rPr>
          <w:rFonts w:asciiTheme="minorHAnsi" w:hAnsiTheme="minorHAnsi" w:cstheme="minorHAnsi"/>
        </w:rPr>
        <w:t xml:space="preserve">Publikace byla vydána až </w:t>
      </w:r>
      <w:r w:rsidRPr="00C24D02">
        <w:rPr>
          <w:rFonts w:asciiTheme="minorHAnsi" w:hAnsiTheme="minorHAnsi" w:cstheme="minorHAnsi"/>
          <w:b/>
          <w:bCs/>
        </w:rPr>
        <w:t>v roce 2019</w:t>
      </w:r>
      <w:r w:rsidRPr="00C24D02">
        <w:rPr>
          <w:rFonts w:asciiTheme="minorHAnsi" w:hAnsiTheme="minorHAnsi" w:cstheme="minorHAnsi"/>
        </w:rPr>
        <w:t xml:space="preserve">, tedy </w:t>
      </w:r>
      <w:r w:rsidRPr="00C24D02">
        <w:rPr>
          <w:rFonts w:asciiTheme="minorHAnsi" w:hAnsiTheme="minorHAnsi" w:cstheme="minorHAnsi"/>
          <w:b/>
          <w:bCs/>
        </w:rPr>
        <w:t>sedm let po jeho příchodu na pracoviště ÚTEF ČVUT</w:t>
      </w:r>
      <w:r w:rsidRPr="00C24D02">
        <w:rPr>
          <w:rFonts w:asciiTheme="minorHAnsi" w:hAnsiTheme="minorHAnsi" w:cstheme="minorHAnsi"/>
        </w:rPr>
        <w:t>. Analýzy, interpretace a příprava článku probíhaly tedy až v období, kdy byl již pracovníkem ÚTEF ČVUT.</w:t>
      </w:r>
    </w:p>
    <w:p w14:paraId="46D42CB0"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rPr>
        <w:t xml:space="preserve">Závěr, že „podstatná část podílu vznikla během působení v Mnichově“, ignoruje skutečnost, že finální zpracování, interpretace a publikace probíhaly </w:t>
      </w:r>
      <w:r w:rsidRPr="00C24D02">
        <w:rPr>
          <w:rFonts w:asciiTheme="minorHAnsi" w:hAnsiTheme="minorHAnsi" w:cstheme="minorHAnsi"/>
          <w:b/>
          <w:bCs/>
        </w:rPr>
        <w:t>výhradně v době jeho působení v ÚTEF ČVUT</w:t>
      </w:r>
      <w:r w:rsidRPr="00C24D02">
        <w:rPr>
          <w:rFonts w:asciiTheme="minorHAnsi" w:hAnsiTheme="minorHAnsi" w:cstheme="minorHAnsi"/>
        </w:rPr>
        <w:t>. Odborný přínos R. Filgase k této práci nelze redukovat pouze na období před rokem 2012. Metodika M17+ nevyžaduje, aby veškerá práce na výsledku vznikla výhradně na předkládající VO, ale aby příspěvek VO byl významný a doložený. V našem případě je tento příspěvek jednoznačný a prokazatelný:</w:t>
      </w:r>
    </w:p>
    <w:p w14:paraId="54C3480F" w14:textId="77777777" w:rsidR="00B8177D" w:rsidRPr="00C24D02" w:rsidRDefault="00B8177D" w:rsidP="00B8177D">
      <w:pPr>
        <w:numPr>
          <w:ilvl w:val="0"/>
          <w:numId w:val="5"/>
        </w:numPr>
        <w:spacing w:before="240" w:after="144" w:line="360" w:lineRule="auto"/>
        <w:jc w:val="both"/>
        <w:rPr>
          <w:rFonts w:asciiTheme="minorHAnsi" w:hAnsiTheme="minorHAnsi" w:cstheme="minorHAnsi"/>
        </w:rPr>
      </w:pPr>
      <w:r w:rsidRPr="00C24D02">
        <w:rPr>
          <w:rFonts w:asciiTheme="minorHAnsi" w:hAnsiTheme="minorHAnsi" w:cstheme="minorHAnsi"/>
        </w:rPr>
        <w:t>Autor byl zaměstnancem VO po celou dobu přípravy a vydání publikace.</w:t>
      </w:r>
    </w:p>
    <w:p w14:paraId="62B04568" w14:textId="77777777" w:rsidR="00B8177D" w:rsidRPr="00C24D02" w:rsidRDefault="00B8177D" w:rsidP="00B8177D">
      <w:pPr>
        <w:numPr>
          <w:ilvl w:val="0"/>
          <w:numId w:val="5"/>
        </w:numPr>
        <w:spacing w:before="240" w:after="144" w:line="360" w:lineRule="auto"/>
        <w:jc w:val="both"/>
        <w:rPr>
          <w:rFonts w:asciiTheme="minorHAnsi" w:hAnsiTheme="minorHAnsi" w:cstheme="minorHAnsi"/>
        </w:rPr>
      </w:pPr>
      <w:r w:rsidRPr="00C24D02">
        <w:rPr>
          <w:rFonts w:asciiTheme="minorHAnsi" w:hAnsiTheme="minorHAnsi" w:cstheme="minorHAnsi"/>
        </w:rPr>
        <w:t>Aktivně se podílel na analýze a interpretaci dat.</w:t>
      </w:r>
    </w:p>
    <w:p w14:paraId="1F639E72"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rPr>
        <w:t>Žádáme proto o přehodnocení rozhodnutí a zařazení uvedeného výsledku do hodnocení.</w:t>
      </w:r>
      <w:r w:rsidRPr="00C24D02">
        <w:rPr>
          <w:rFonts w:asciiTheme="minorHAnsi" w:hAnsiTheme="minorHAnsi" w:cstheme="minorHAnsi"/>
        </w:rPr>
        <w:t xml:space="preserve"> </w:t>
      </w:r>
    </w:p>
    <w:p w14:paraId="4BC231F6"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lastRenderedPageBreak/>
        <w:t>Stanovisko garanta</w:t>
      </w:r>
      <w:r w:rsidRPr="00C24D02">
        <w:rPr>
          <w:rFonts w:asciiTheme="minorHAnsi" w:hAnsiTheme="minorHAnsi" w:cstheme="minorHAnsi"/>
        </w:rPr>
        <w:t>: Oproti původnímu zdůvodněni výsledku nyní VO v námitce novými údaji dokládá, že významná část tvůrčí práce vznikla na ČVUT. Vypořádání námitek a změna hodnocení však nemohou být založeny na uvádění nových skutečností, které VO opomenula uvést v původním zdůvodnění. Panel neshledal žádné procesní pochybení a trvá na původním hodnocení, které na základě předložených podkladů rigorózně provedl.</w:t>
      </w:r>
    </w:p>
    <w:p w14:paraId="74038D32"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N.</w:t>
      </w:r>
    </w:p>
    <w:p w14:paraId="474CA768"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Při hodnocení je nutno postupovat dle oddílu 4.2 Zajištění podkladů pro hodnocení vybraného výsledku, písmene e), Postupu</w:t>
      </w:r>
      <w:r w:rsidRPr="00C24D02">
        <w:rPr>
          <w:rStyle w:val="Znakapoznpodarou"/>
          <w:rFonts w:asciiTheme="minorHAnsi" w:hAnsiTheme="minorHAnsi" w:cstheme="minorHAnsi"/>
        </w:rPr>
        <w:footnoteReference w:id="11"/>
      </w:r>
      <w:r w:rsidRPr="00C24D02">
        <w:rPr>
          <w:rFonts w:asciiTheme="minorHAnsi" w:hAnsiTheme="minorHAnsi" w:cstheme="minorHAnsi"/>
        </w:rPr>
        <w:t>, ve kterém je uvedeno: „</w:t>
      </w:r>
      <w:r w:rsidRPr="00C24D02">
        <w:rPr>
          <w:rFonts w:asciiTheme="minorHAnsi" w:hAnsiTheme="minorHAnsi" w:cstheme="minorHAnsi"/>
          <w:i/>
          <w:iCs/>
        </w:rPr>
        <w:t>Panelisté při výsledné kontrole podílu organizace na vzniku výsledku mohou po schválení předsedou Odborného panelu výsledek zamítnout, pokud mají indicie, že podíl přihlašující instituce byl marginální (technicky zaškrtnutím pole (N) v aplikaci SKV). V případě, že takové indicie nemají, posuzují i oni výsledek z hlediska kvality jako celek.“</w:t>
      </w:r>
    </w:p>
    <w:p w14:paraId="590290B5" w14:textId="0C192595"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 Ze zdůvodnění přínosu předloženého VO opravdu vyplývá, že jediný autor afiliovaný k ČVUT se tématu věnoval zejména během svého působení v Mnichově, i když v této práci potom pokračoval i na ČVUT. KHV opakovaně upozorňuje, že do Modulu M1 je vhodné předkládat zejména výsledky, kde jsou autoři z předkládající instituce uvedeni například jako první nebo korespondenční, aby byl zásadní přínos předkládající instituce nezpochybnitelný, popř. připojit detailní popis autorského přínosu u výsledků, které vznikly ve spolupráci více organizací.</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061AC2B3" w14:textId="77777777" w:rsidTr="003D1A59">
        <w:tc>
          <w:tcPr>
            <w:tcW w:w="2405" w:type="dxa"/>
          </w:tcPr>
          <w:p w14:paraId="52765907"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1424340"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Fakultní nemocnice u sv. Anny v Brně</w:t>
            </w:r>
          </w:p>
        </w:tc>
      </w:tr>
      <w:tr w:rsidR="00B8177D" w:rsidRPr="00C24D02" w14:paraId="72838D73" w14:textId="77777777" w:rsidTr="003D1A59">
        <w:tc>
          <w:tcPr>
            <w:tcW w:w="2405" w:type="dxa"/>
          </w:tcPr>
          <w:p w14:paraId="4BABF557"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1EEFD9CF"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192371710</w:t>
            </w:r>
          </w:p>
        </w:tc>
      </w:tr>
      <w:tr w:rsidR="00B8177D" w:rsidRPr="00C24D02" w14:paraId="3123173E" w14:textId="77777777" w:rsidTr="003D1A59">
        <w:trPr>
          <w:trHeight w:val="741"/>
        </w:trPr>
        <w:tc>
          <w:tcPr>
            <w:tcW w:w="2405" w:type="dxa"/>
          </w:tcPr>
          <w:p w14:paraId="3BD657E8"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8F7451C"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FireProt(DB): database of manually curated protein stability data</w:t>
            </w:r>
            <w:bookmarkStart w:id="11" w:name="_Hlk218592156"/>
            <w:bookmarkEnd w:id="11"/>
          </w:p>
        </w:tc>
      </w:tr>
      <w:tr w:rsidR="00B8177D" w:rsidRPr="00C24D02" w14:paraId="4A0C050C" w14:textId="77777777" w:rsidTr="003D1A59">
        <w:tc>
          <w:tcPr>
            <w:tcW w:w="2405" w:type="dxa"/>
          </w:tcPr>
          <w:p w14:paraId="2A3F77B9"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FE0B1A6"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B8177D" w:rsidRPr="00C24D02" w14:paraId="712481A5" w14:textId="77777777" w:rsidTr="003D1A59">
        <w:tc>
          <w:tcPr>
            <w:tcW w:w="2405" w:type="dxa"/>
          </w:tcPr>
          <w:p w14:paraId="4A2A6BBC"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Kritérium (PP/SR)</w:t>
            </w:r>
          </w:p>
        </w:tc>
        <w:tc>
          <w:tcPr>
            <w:tcW w:w="6378" w:type="dxa"/>
          </w:tcPr>
          <w:p w14:paraId="5873E4FC"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68C4A667" w14:textId="77777777" w:rsidTr="003D1A59">
        <w:tc>
          <w:tcPr>
            <w:tcW w:w="2405" w:type="dxa"/>
          </w:tcPr>
          <w:p w14:paraId="208E7893"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2"/>
            </w:r>
            <w:r w:rsidRPr="00C24D02">
              <w:rPr>
                <w:rFonts w:asciiTheme="minorHAnsi" w:eastAsia="Calibri" w:hAnsiTheme="minorHAnsi" w:cstheme="minorHAnsi"/>
              </w:rPr>
              <w:t>)</w:t>
            </w:r>
          </w:p>
        </w:tc>
        <w:tc>
          <w:tcPr>
            <w:tcW w:w="6378" w:type="dxa"/>
          </w:tcPr>
          <w:p w14:paraId="14B46CF5"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w:t>
            </w:r>
            <w:r w:rsidRPr="00C24D02">
              <w:rPr>
                <w:rFonts w:asciiTheme="minorHAnsi" w:eastAsia="Calibri" w:hAnsiTheme="minorHAnsi" w:cstheme="minorHAnsi"/>
                <w:b/>
                <w:bCs/>
              </w:rPr>
              <w:t>N</w:t>
            </w:r>
          </w:p>
        </w:tc>
      </w:tr>
      <w:tr w:rsidR="00B8177D" w:rsidRPr="00C24D02" w14:paraId="7C2943CC" w14:textId="77777777" w:rsidTr="003D1A59">
        <w:tc>
          <w:tcPr>
            <w:tcW w:w="2405" w:type="dxa"/>
          </w:tcPr>
          <w:p w14:paraId="5B30AE7C"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5A2A88E"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N.</w:t>
            </w:r>
          </w:p>
        </w:tc>
      </w:tr>
    </w:tbl>
    <w:p w14:paraId="561ADED2" w14:textId="77777777" w:rsidR="00B8177D" w:rsidRPr="00C24D02" w:rsidRDefault="00B8177D" w:rsidP="00B8177D">
      <w:pPr>
        <w:spacing w:after="144" w:line="360" w:lineRule="auto"/>
        <w:rPr>
          <w:rFonts w:asciiTheme="minorHAnsi" w:hAnsiTheme="minorHAnsi" w:cstheme="minorHAnsi"/>
        </w:rPr>
      </w:pPr>
    </w:p>
    <w:p w14:paraId="5FE305EA"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Dostatečný podíl VO na výsledku</w:t>
      </w:r>
    </w:p>
    <w:p w14:paraId="2366C3DE"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874D7AB"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Domníváme se, že tvůrčí podíl nemocnice byl v předložených materiálech popstán, a to: </w:t>
      </w:r>
    </w:p>
    <w:p w14:paraId="7582818D" w14:textId="77777777" w:rsidR="00B8177D" w:rsidRPr="00C24D02" w:rsidRDefault="00B8177D" w:rsidP="00B8177D">
      <w:pPr>
        <w:spacing w:after="144" w:line="360" w:lineRule="auto"/>
        <w:ind w:left="709" w:hanging="352"/>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 xml:space="preserve">Významným podílem vysoce kvalifikovaných autorů (na prvních a korespondenčních místech) s převažujícím pracovním úvazkem ve FNUSA. Tento personální podíl výrazně překračuje míru, kterou by bylo možné považovat za marginální, </w:t>
      </w:r>
    </w:p>
    <w:p w14:paraId="2AB0F489" w14:textId="77777777" w:rsidR="00B8177D" w:rsidRPr="00C24D02" w:rsidRDefault="00B8177D" w:rsidP="00B8177D">
      <w:pPr>
        <w:spacing w:after="144" w:line="360" w:lineRule="auto"/>
        <w:ind w:left="709" w:hanging="352"/>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 xml:space="preserve">Poskytnutím zásadní finanční podpory a výzkumné infrastruktury prostřednictvím grantových projektů; </w:t>
      </w:r>
    </w:p>
    <w:p w14:paraId="61A1FE6A" w14:textId="77777777" w:rsidR="00B8177D" w:rsidRPr="00C24D02" w:rsidRDefault="00B8177D" w:rsidP="00B8177D">
      <w:pPr>
        <w:spacing w:after="144" w:line="360" w:lineRule="auto"/>
        <w:ind w:left="709" w:hanging="352"/>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 xml:space="preserve">Formalizovanou dlouholetou spoluprací s Masarykovou univerzitou v Brně, v rámci společných pracovišť a smluv o společném výzkumu. </w:t>
      </w:r>
    </w:p>
    <w:p w14:paraId="1EAA0FC3"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Dále si dovolujeme upozornit, že problematika násobných afiliací, které je v hodnoceních také zmiňována, je v oblasti medicínského výzkumu běžná. Samotní autoři často působí současně na několika institucích, typicky v nemocnici a na univerzitě, případně v dalších výzkumných organizacích. V případě hodnocených výsledků uvedení více afiliací odpovídá reálnému zapojení jak FNUSA, tak dalších institucí. Přitom při realizaci dotčených výsledků, sehrála naše instituce významnou roli. </w:t>
      </w:r>
    </w:p>
    <w:p w14:paraId="7D2B6ADA"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Žádáme o přehodnocení těchto výsledků. Současně bychom uvítali metodické upřesnění, jakým způsobem má být přínos instituce do budoucna zdůvodněn, abychom předešli obdobným nedorozuměním. </w:t>
      </w:r>
    </w:p>
    <w:p w14:paraId="05AF242F"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lastRenderedPageBreak/>
        <w:t>Stanovisko garanta</w:t>
      </w:r>
      <w:r w:rsidRPr="00C24D02">
        <w:rPr>
          <w:rFonts w:asciiTheme="minorHAnsi" w:hAnsiTheme="minorHAnsi" w:cstheme="minorHAnsi"/>
        </w:rPr>
        <w:t>: Výzkumná organizace (Fakultní nemocnice u sv. Anny – FNUSA) žádá o přehodnocení vyřazení výsledku „FireProt(DB): database of manually curated protein stability data“ z hodnocení z důvodu nemožnosti posoudit tvůrčí podíl předkládající organizace na jeho vzniku. Organizace svůj podíl zdůvodňuje zejména pracovním úvazkem významných autorů ve FNUSA, poskytnutím grantové podpory a dlouhodobou spoluprací s Masarykovou univerzitou (MU) v rámci společného pracoviště. Po posouzení této námitky panel konstatuje, že ani na základě předložených argumentů není možné objektivně zhodnotit přínos předkládající instituce ke vzniku výsledku. Výše pracovních úvazků, na které se námitka odvolává, sama o sobě nevypovídá o tvůrčím podílu organizace, zvláště za situace, kdy všichni uvedení autoři současně vykazují afiliaci k další instituci (MU). Panel dále zdůrazňuje, že metodika nehodnotí společné pracoviště jako celek, ale každou organizaci samostatně. To nevylučuje tvorbu společných výstupů, avšak v takovém případě musí předkládající organizace doložit, jaký byl její konkrétní tvůrčí přínos ke vzniku daného výsledku. V opačném případě by stejné hodnocení automaticky připadlo všem zapojeným institucím, i kdyby byl jejich podíl pouze marginální. Obdobně ani poskytnutí infrastruktury či poděkování institucionálním grantům samo o sobě nepředstavuje doklad významného tvůrčího podílu na vzniku výsledku. Po zvážení námitky panel nadále trvá na hodnocení „N“.</w:t>
      </w:r>
    </w:p>
    <w:p w14:paraId="2B0BE3A3"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N.</w:t>
      </w:r>
    </w:p>
    <w:p w14:paraId="02289F6A"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Při hodnocení je nutno postupovat dle oddílu 4.2 Zajištění podkladů pro hodnocení vybraného výsledku, písmene e), Postupu</w:t>
      </w:r>
      <w:r w:rsidRPr="00C24D02">
        <w:rPr>
          <w:rStyle w:val="Znakapoznpodarou"/>
          <w:rFonts w:asciiTheme="minorHAnsi" w:hAnsiTheme="minorHAnsi" w:cstheme="minorHAnsi"/>
        </w:rPr>
        <w:footnoteReference w:id="13"/>
      </w:r>
      <w:r w:rsidRPr="00C24D02">
        <w:rPr>
          <w:rFonts w:asciiTheme="minorHAnsi" w:hAnsiTheme="minorHAnsi" w:cstheme="minorHAnsi"/>
        </w:rPr>
        <w:t>, ve kterém je uvedeno: „</w:t>
      </w:r>
      <w:r w:rsidRPr="00C24D02">
        <w:rPr>
          <w:rFonts w:asciiTheme="minorHAnsi" w:hAnsiTheme="minorHAnsi" w:cstheme="minorHAnsi"/>
          <w:i/>
          <w:iCs/>
        </w:rPr>
        <w:t>Panelisté při výsledné kontrole podílu organizace na vzniku výsledku mohou po schválení předsedou Odborného panelu výsledek zamítnout, pokud mají indicie, že podíl přihlašující instituce byl marginální (technicky zaškrtnutím pole (N) v aplikaci SKV). V případě, že takové indicie nemají, posuzují i oni výsledek z hlediska kvality jako celek.“</w:t>
      </w:r>
    </w:p>
    <w:p w14:paraId="0014EE97" w14:textId="3BC38305"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vyjádřením panelu. Námitky předkládající VO jsou do jisté míry relevantní, ale v samotném zdůvodnění podílu VO na hodnoceném výsledku se vyskytují jen obecné informace (sdílení infrastruktury, smluvní spolupráce, výše úvazků), ale nikoli </w:t>
      </w:r>
      <w:r w:rsidRPr="00C24D02">
        <w:rPr>
          <w:rFonts w:asciiTheme="minorHAnsi" w:hAnsiTheme="minorHAnsi" w:cstheme="minorHAnsi"/>
        </w:rPr>
        <w:lastRenderedPageBreak/>
        <w:t>specifikace konkrétní vědecké práce, která byla na předkládající VO při tvorbě výsledku provedena. Při výběru dalších výsledků k hodnocení v Modulu M1 KHV doporučuje věnovat odůvodnění autorského podílu vetší pozornost.</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0580BF32" w14:textId="77777777" w:rsidTr="003D1A59">
        <w:tc>
          <w:tcPr>
            <w:tcW w:w="2405" w:type="dxa"/>
          </w:tcPr>
          <w:p w14:paraId="3E11D60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D4C5C60"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Fakultní nemocnice u sv. Anny v Brně</w:t>
            </w:r>
          </w:p>
        </w:tc>
      </w:tr>
      <w:tr w:rsidR="00B8177D" w:rsidRPr="00C24D02" w14:paraId="75C27C00" w14:textId="77777777" w:rsidTr="003D1A59">
        <w:tc>
          <w:tcPr>
            <w:tcW w:w="2405" w:type="dxa"/>
          </w:tcPr>
          <w:p w14:paraId="37339F5B"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27536C1"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192510711</w:t>
            </w:r>
          </w:p>
        </w:tc>
      </w:tr>
      <w:tr w:rsidR="00B8177D" w:rsidRPr="00C24D02" w14:paraId="75DF4052" w14:textId="77777777" w:rsidTr="003D1A59">
        <w:trPr>
          <w:trHeight w:val="741"/>
        </w:trPr>
        <w:tc>
          <w:tcPr>
            <w:tcW w:w="2405" w:type="dxa"/>
          </w:tcPr>
          <w:p w14:paraId="411C0FCD"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C96F26D"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Catalytic mechanism for Renilla-type luciferases</w:t>
            </w:r>
            <w:bookmarkStart w:id="12" w:name="_Hlk218592295"/>
            <w:bookmarkEnd w:id="12"/>
          </w:p>
        </w:tc>
      </w:tr>
      <w:tr w:rsidR="00B8177D" w:rsidRPr="00C24D02" w14:paraId="32FE87AD" w14:textId="77777777" w:rsidTr="003D1A59">
        <w:tc>
          <w:tcPr>
            <w:tcW w:w="2405" w:type="dxa"/>
          </w:tcPr>
          <w:p w14:paraId="10B38C64"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31DA2E2"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w:t>
            </w:r>
          </w:p>
        </w:tc>
      </w:tr>
      <w:tr w:rsidR="00B8177D" w:rsidRPr="00C24D02" w14:paraId="08F67188" w14:textId="77777777" w:rsidTr="003D1A59">
        <w:tc>
          <w:tcPr>
            <w:tcW w:w="2405" w:type="dxa"/>
          </w:tcPr>
          <w:p w14:paraId="69A7CDF0"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65946513"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7D5D43B1" w14:textId="77777777" w:rsidTr="003D1A59">
        <w:tc>
          <w:tcPr>
            <w:tcW w:w="2405" w:type="dxa"/>
          </w:tcPr>
          <w:p w14:paraId="716E29E6"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4"/>
            </w:r>
            <w:r w:rsidRPr="00C24D02">
              <w:rPr>
                <w:rFonts w:asciiTheme="minorHAnsi" w:eastAsia="Calibri" w:hAnsiTheme="minorHAnsi" w:cstheme="minorHAnsi"/>
              </w:rPr>
              <w:t>)</w:t>
            </w:r>
          </w:p>
        </w:tc>
        <w:tc>
          <w:tcPr>
            <w:tcW w:w="6378" w:type="dxa"/>
          </w:tcPr>
          <w:p w14:paraId="2A4A3EF0"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w:t>
            </w:r>
            <w:r w:rsidRPr="00C24D02">
              <w:rPr>
                <w:rFonts w:asciiTheme="minorHAnsi" w:eastAsia="Calibri" w:hAnsiTheme="minorHAnsi" w:cstheme="minorHAnsi"/>
                <w:b/>
                <w:bCs/>
              </w:rPr>
              <w:t>N</w:t>
            </w:r>
          </w:p>
        </w:tc>
      </w:tr>
      <w:tr w:rsidR="00B8177D" w:rsidRPr="00C24D02" w14:paraId="70D9927F" w14:textId="77777777" w:rsidTr="003D1A59">
        <w:tc>
          <w:tcPr>
            <w:tcW w:w="2405" w:type="dxa"/>
          </w:tcPr>
          <w:p w14:paraId="7DFADA94"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BA05495"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N.</w:t>
            </w:r>
          </w:p>
        </w:tc>
      </w:tr>
    </w:tbl>
    <w:p w14:paraId="65D5FF15" w14:textId="77777777" w:rsidR="00B8177D" w:rsidRPr="00C24D02" w:rsidRDefault="00B8177D" w:rsidP="00B8177D">
      <w:pPr>
        <w:spacing w:after="144" w:line="360" w:lineRule="auto"/>
        <w:rPr>
          <w:rFonts w:asciiTheme="minorHAnsi" w:hAnsiTheme="minorHAnsi" w:cstheme="minorHAnsi"/>
        </w:rPr>
      </w:pPr>
    </w:p>
    <w:p w14:paraId="5DA7A6AA"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Dostatečný podíl VO na výsledku</w:t>
      </w:r>
    </w:p>
    <w:p w14:paraId="03B1A007"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054DEF8"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Domníváme se, že tvůrčí podíl nemocnice byl v předložených materiálech popstán, a to: </w:t>
      </w:r>
    </w:p>
    <w:p w14:paraId="62FAB34C" w14:textId="77777777" w:rsidR="00B8177D" w:rsidRPr="00C24D02" w:rsidRDefault="00B8177D" w:rsidP="00B8177D">
      <w:pPr>
        <w:spacing w:after="144" w:line="360" w:lineRule="auto"/>
        <w:ind w:left="709" w:hanging="352"/>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 xml:space="preserve">Významným podílem vysoce kvalifikovaných autorů (na prvních a korespondenčních místech) s převažujícím pracovním úvazkem ve FNUSA. Tento personální podíl výrazně překračuje míru, kterou by bylo možné považovat za marginální, </w:t>
      </w:r>
    </w:p>
    <w:p w14:paraId="46BD5755" w14:textId="77777777" w:rsidR="00B8177D" w:rsidRPr="00C24D02" w:rsidRDefault="00B8177D" w:rsidP="00B8177D">
      <w:pPr>
        <w:spacing w:after="144" w:line="360" w:lineRule="auto"/>
        <w:ind w:left="709" w:hanging="352"/>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 xml:space="preserve">Poskytnutím zásadní finanční podpory a výzkumné infrastruktury prostřednictvím grantových projektů; </w:t>
      </w:r>
    </w:p>
    <w:p w14:paraId="68CC20DB" w14:textId="77777777" w:rsidR="00B8177D" w:rsidRPr="00C24D02" w:rsidRDefault="00B8177D" w:rsidP="00B8177D">
      <w:pPr>
        <w:spacing w:after="144" w:line="360" w:lineRule="auto"/>
        <w:ind w:left="709" w:hanging="352"/>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 xml:space="preserve">Formalizovanou dlouholetou spoluprací s Masarykovou univerzitou v Brně, v rámci společných pracovišť a smluv o společném výzkumu. </w:t>
      </w:r>
    </w:p>
    <w:p w14:paraId="7A156E9C"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Dále si dovolujeme upozornit, že problematika násobných afiliací, které je v hodnoceních také zmiňována, je v oblasti medicínského výzkumu běžná. Samotní autoři často působí </w:t>
      </w:r>
      <w:r w:rsidRPr="00C24D02">
        <w:rPr>
          <w:rFonts w:asciiTheme="minorHAnsi" w:hAnsiTheme="minorHAnsi" w:cstheme="minorHAnsi"/>
        </w:rPr>
        <w:lastRenderedPageBreak/>
        <w:t xml:space="preserve">současně na několika institucích, typicky v nemocnici a na univerzitě, případně v dalších výzkumných organizacích. V případě hodnocených výsledků uvedení více afiliací odpovídá reálnému zapojení jak FNUSA, tak dalších institucí. Přitom při realizaci dotčených výsledků, sehrála naše instituce významnou roli. </w:t>
      </w:r>
    </w:p>
    <w:p w14:paraId="23415CF2"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Žádáme o přehodnocení těchto výsledků. Současně bychom uvítali metodické upřesnění, jakým způsobem má být přínos instituce do budoucna zdůvodněn, abychom předešli obdobným nedorozuměním. </w:t>
      </w:r>
    </w:p>
    <w:p w14:paraId="1D977693"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Výzkumná organizace žádá přehodnocení vyřazení výsledku Catalytic mechanism for Renilla-type luciferases z hodnocení z důvodu nemožnosti zhodnotit tvůrčí podíl předkládající organizace na jeho vzniku. Organizace podíl zdůvodňuje zejména převažujícím pracovním úvazkem důležitých autorů ve FNUSA, dále poskytnutím grantové podpory a dlohodobou spoluprací s MU (společné pracoviště). Výše úvazku v organizaci přímo nevypovídá o tvůrčím podílu organizace na vzniku výsledku, zejména když všichni zástupci zároveň vykazují afiliaci k další instituci (MU). Metodika nehodnotí společné pracoviště, ale každou instituci zvlášť. To nevylučuje společné práce, ale v takovém případě musí organizace prokázat, jaký je její podíl na vzniku práce. V opačném případě by automaticky připadlo stejné hodnocení všem organizacím zapojeným do vzniku výsledku, ikdyž by byl jejich podíl marginální. Podobně poskytnutí infrastruktury nebo poděkování institucionálním grantům, které nejsou zaměřeny na hodnocenou problematiku, přímo nevypovídá o tvůrčím podílu konkrétní instituce na vzniku práce. Po posouzení námitky panel nadále trvá na hodnocení N.</w:t>
      </w:r>
    </w:p>
    <w:p w14:paraId="56ACA3E4"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N.</w:t>
      </w:r>
    </w:p>
    <w:p w14:paraId="38184E66"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Při hodnocení je nutno postupovat dle oddílu 4.2 Zajištění podkladů pro hodnocení vybraného výsledku, písmene e), Postupu</w:t>
      </w:r>
      <w:r w:rsidRPr="00C24D02">
        <w:rPr>
          <w:rStyle w:val="Znakapoznpodarou"/>
          <w:rFonts w:asciiTheme="minorHAnsi" w:hAnsiTheme="minorHAnsi" w:cstheme="minorHAnsi"/>
        </w:rPr>
        <w:footnoteReference w:id="15"/>
      </w:r>
      <w:r w:rsidRPr="00C24D02">
        <w:rPr>
          <w:rFonts w:asciiTheme="minorHAnsi" w:hAnsiTheme="minorHAnsi" w:cstheme="minorHAnsi"/>
        </w:rPr>
        <w:t>, ve kterém je uvedeno: „</w:t>
      </w:r>
      <w:r w:rsidRPr="00C24D02">
        <w:rPr>
          <w:rFonts w:asciiTheme="minorHAnsi" w:hAnsiTheme="minorHAnsi" w:cstheme="minorHAnsi"/>
          <w:i/>
          <w:iCs/>
        </w:rPr>
        <w:t xml:space="preserve">Panelisté při výsledné kontrole podílu organizace na vzniku výsledku mohou po schválení předsedou Odborného panelu výsledek zamítnout, pokud mají indicie, že podíl </w:t>
      </w:r>
      <w:r w:rsidRPr="00C24D02">
        <w:rPr>
          <w:rFonts w:asciiTheme="minorHAnsi" w:hAnsiTheme="minorHAnsi" w:cstheme="minorHAnsi"/>
          <w:i/>
          <w:iCs/>
        </w:rPr>
        <w:lastRenderedPageBreak/>
        <w:t>přihlašující instituce byl marginální (technicky zaškrtnutím pole (N) v aplikaci SKV). V případě, že takové indicie nemají, posuzují i oni výsledek z hlediska kvality jako celek.“</w:t>
      </w:r>
    </w:p>
    <w:p w14:paraId="51410DCD" w14:textId="56863201"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vyjádřením panelu. Námitky předkládající VO jsou do jisté míry relevantní, ale v samotném zdůvodnění podílu VO na hodnoceném výsledku se vyskytují jen obecné informace (sdílení infrastruktury, smluvní spolupráce, výše úvazků), ale nikoli specifikace konkrétní vědecké práce, která byla na předkládající VO při tvorbě výsledku provedena. Při výběru dalších výsledků k hodnocení v Modulu M1 KHV doporučuje věnovat odůvodnění autorského podílu vetší pozornost.</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44B41CEC" w14:textId="77777777" w:rsidTr="003D1A59">
        <w:tc>
          <w:tcPr>
            <w:tcW w:w="2405" w:type="dxa"/>
          </w:tcPr>
          <w:p w14:paraId="47BB50A2"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811248D"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Mendelova univerzita v Brně</w:t>
            </w:r>
          </w:p>
        </w:tc>
      </w:tr>
      <w:tr w:rsidR="00B8177D" w:rsidRPr="00C24D02" w14:paraId="65CBFC6C" w14:textId="77777777" w:rsidTr="003D1A59">
        <w:tc>
          <w:tcPr>
            <w:tcW w:w="2405" w:type="dxa"/>
          </w:tcPr>
          <w:p w14:paraId="4CC6728F"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425B635"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192380872</w:t>
            </w:r>
          </w:p>
        </w:tc>
      </w:tr>
      <w:tr w:rsidR="00B8177D" w:rsidRPr="00C24D02" w14:paraId="213AC747" w14:textId="77777777" w:rsidTr="003D1A59">
        <w:trPr>
          <w:trHeight w:val="741"/>
        </w:trPr>
        <w:tc>
          <w:tcPr>
            <w:tcW w:w="2405" w:type="dxa"/>
          </w:tcPr>
          <w:p w14:paraId="5D9FAE19"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1E6E061"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Delimiting species in Basidiomycota: a review</w:t>
            </w:r>
            <w:bookmarkStart w:id="13" w:name="_Hlk218592507"/>
            <w:bookmarkEnd w:id="13"/>
          </w:p>
        </w:tc>
      </w:tr>
      <w:tr w:rsidR="00B8177D" w:rsidRPr="00C24D02" w14:paraId="56E83658" w14:textId="77777777" w:rsidTr="003D1A59">
        <w:tc>
          <w:tcPr>
            <w:tcW w:w="2405" w:type="dxa"/>
          </w:tcPr>
          <w:p w14:paraId="66FBA0B1"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E50A574"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B8177D" w:rsidRPr="00C24D02" w14:paraId="5EFE5DD9" w14:textId="77777777" w:rsidTr="003D1A59">
        <w:tc>
          <w:tcPr>
            <w:tcW w:w="2405" w:type="dxa"/>
          </w:tcPr>
          <w:p w14:paraId="2579BAB1"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9FBE148"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48943010" w14:textId="77777777" w:rsidTr="003D1A59">
        <w:tc>
          <w:tcPr>
            <w:tcW w:w="2405" w:type="dxa"/>
          </w:tcPr>
          <w:p w14:paraId="5F632DBD"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6"/>
            </w:r>
            <w:r w:rsidRPr="00C24D02">
              <w:rPr>
                <w:rFonts w:asciiTheme="minorHAnsi" w:eastAsia="Calibri" w:hAnsiTheme="minorHAnsi" w:cstheme="minorHAnsi"/>
              </w:rPr>
              <w:t>)</w:t>
            </w:r>
          </w:p>
        </w:tc>
        <w:tc>
          <w:tcPr>
            <w:tcW w:w="6378" w:type="dxa"/>
          </w:tcPr>
          <w:p w14:paraId="7ADE98AD"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w:t>
            </w:r>
          </w:p>
        </w:tc>
      </w:tr>
      <w:tr w:rsidR="00B8177D" w:rsidRPr="00C24D02" w14:paraId="6519FE97" w14:textId="77777777" w:rsidTr="003D1A59">
        <w:tc>
          <w:tcPr>
            <w:tcW w:w="2405" w:type="dxa"/>
          </w:tcPr>
          <w:p w14:paraId="7804C288"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69A7CABF"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N.</w:t>
            </w:r>
          </w:p>
        </w:tc>
      </w:tr>
    </w:tbl>
    <w:p w14:paraId="3148D4B4" w14:textId="77777777" w:rsidR="00B8177D" w:rsidRPr="00C24D02" w:rsidRDefault="00B8177D" w:rsidP="00B8177D">
      <w:pPr>
        <w:spacing w:after="144" w:line="360" w:lineRule="auto"/>
        <w:rPr>
          <w:rFonts w:asciiTheme="minorHAnsi" w:hAnsiTheme="minorHAnsi" w:cstheme="minorHAnsi"/>
        </w:rPr>
      </w:pPr>
    </w:p>
    <w:p w14:paraId="5214BBCE"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Nedostatečný podíl autora</w:t>
      </w:r>
    </w:p>
    <w:p w14:paraId="0075B371"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E71B537"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 xml:space="preserve">Rozporujeme tvrzení Oponenta 1 u výsledku ev. Č. </w:t>
      </w:r>
      <w:r w:rsidRPr="00C24D02">
        <w:rPr>
          <w:rFonts w:asciiTheme="minorHAnsi" w:hAnsiTheme="minorHAnsi" w:cstheme="minorHAnsi"/>
          <w:b/>
        </w:rPr>
        <w:t>192380872</w:t>
      </w:r>
      <w:r w:rsidRPr="00C24D02">
        <w:rPr>
          <w:rFonts w:asciiTheme="minorHAnsi" w:hAnsiTheme="minorHAnsi" w:cstheme="minorHAnsi"/>
        </w:rPr>
        <w:t xml:space="preserve">, kde je uvedeno, že autor výsledku je jedním z 27 autorů (celkem 29 institucí) a není jasný podíl instituce na celkovém výsledku. Nejvíce problematické mi přijde tvrzení ve Zdůvodnění, že “K získání výsledků byly použita infrastruktura laboratoří Ústavu ochrany lesů a myslivosti, konkrétně mikroskopická technika a technika pro molekulárně biologické metody.” Výstup je ale typu REVIEW a neobsahuje ŽÁDNÉ obrazové přílohy ani molekulární data. Při hodnocení výsledku nebylo </w:t>
      </w:r>
      <w:r w:rsidRPr="00C24D02">
        <w:rPr>
          <w:rFonts w:asciiTheme="minorHAnsi" w:hAnsiTheme="minorHAnsi" w:cstheme="minorHAnsi"/>
        </w:rPr>
        <w:lastRenderedPageBreak/>
        <w:t>zohledněno zdůvodnění „Přínos „našeho“ autora k řešení….“ Zapojení autora z MENDELU spočívalo v samostatném sepsání kapitoly o řádu Hymenochaetales a nižším podílu na textu o řádech Agaricales, Polyporales, a Russulales. Spoluautor M. Tomšovský je světově uznávaný odborník na výše uvedené skupiny hub, přičemž kapitola o řádu Hymenochaetales byla jeho samostatným dílem. Do dalších výše uvedených kapitol zásadně přispěl. Zmínka o infrastruktuře MENDELU byla míněna tak, že bez MENDELU a možnosti využívání univerzitní infrastruktury by domácí autor nezískal dostatečnou vědeckou erudici, a tak by nebyl osloven mezinárodním konsorciem pro participaci na tomto přehledovém článku. V současné době (říjen 2025) má článek 36 citací, převažují citace v časopisech Q1, případně Q2. V článku jsou nejen komplexně shrnuty dosavadní druhové koncepty u různých taxonomických skupin stopkovýtrusých hub, ale zároveň jsou definovány a okomentovány doporučující postupy pro budoucí taxonomické studie zaměřené na stopkovýtrusé houby. Význam článku potvrzuje jeho uveřejnění v prestižním časopise (nejlépe hodnocený časopis v kategorii Mycology na WoS; IF=24,8).</w:t>
      </w:r>
    </w:p>
    <w:p w14:paraId="2B41DD8B"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 xml:space="preserve">Žádáme o opětovné hodnocení výsledku. </w:t>
      </w:r>
    </w:p>
    <w:p w14:paraId="18DCE548"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Panel i nadále trvá na svém tvrzení, že "autor je jedním z 27 autorů (celkem 29 institucí) a není jasný podíl instituce na celkovém výsledku." Problematické je i tvrzení VO, že “k získání výsledků byly použita infrastruktura laboratoří Ústavu ochrany lesů a myslivosti, konkrétně mikroskopická technika a technika pro molekulárně biologické metody.” Hodnocený výstup je totiž typu REVIEW a neobsahuje ŽÁDNÉ obrazové přílohy ani molekulární data.</w:t>
      </w:r>
    </w:p>
    <w:p w14:paraId="6D54AF14"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N.</w:t>
      </w:r>
    </w:p>
    <w:p w14:paraId="64CD8DBF" w14:textId="77777777" w:rsidR="00B8177D" w:rsidRPr="00C24D02" w:rsidRDefault="00B8177D" w:rsidP="00B8177D">
      <w:pPr>
        <w:spacing w:before="240" w:after="144" w:line="360" w:lineRule="auto"/>
        <w:jc w:val="both"/>
        <w:rPr>
          <w:rFonts w:asciiTheme="minorHAnsi" w:hAnsiTheme="minorHAnsi" w:cstheme="minorHAnsi"/>
          <w:b/>
          <w:bCs/>
          <w:u w:val="single"/>
        </w:rPr>
      </w:pPr>
      <w:r w:rsidRPr="00C24D02">
        <w:rPr>
          <w:rFonts w:asciiTheme="minorHAnsi" w:hAnsiTheme="minorHAnsi" w:cstheme="minorHAnsi"/>
          <w:b/>
          <w:bCs/>
          <w:u w:val="single"/>
        </w:rPr>
        <w:t xml:space="preserve">Vyjádření Sekce pro vědu, výzkum a inovace: </w:t>
      </w:r>
      <w:r w:rsidRPr="00C24D02">
        <w:rPr>
          <w:rFonts w:asciiTheme="minorHAnsi" w:hAnsiTheme="minorHAnsi" w:cstheme="minorHAnsi"/>
        </w:rPr>
        <w:t>bez vyjádření.</w:t>
      </w:r>
    </w:p>
    <w:p w14:paraId="3C9315FB" w14:textId="75392C5F"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Odůvodnění autorského podílu poskytnuté nominující organizací je nedostatečné a neodpovídá povaze výsledku (jde o přehledový článek bez primárních dat). Při výběru dalších výsledků k hodnocení v Modulu M1 doporučuje KHV věnovat zdůvodnění nominace i autorského podílu vetší pozornost.</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5BA236FE" w14:textId="77777777" w:rsidTr="003D1A59">
        <w:tc>
          <w:tcPr>
            <w:tcW w:w="2405" w:type="dxa"/>
          </w:tcPr>
          <w:p w14:paraId="71BF1B2B"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Instituce</w:t>
            </w:r>
          </w:p>
        </w:tc>
        <w:tc>
          <w:tcPr>
            <w:tcW w:w="6378" w:type="dxa"/>
          </w:tcPr>
          <w:p w14:paraId="4B822A6B"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Mendelova univerzita v Brně</w:t>
            </w:r>
          </w:p>
        </w:tc>
      </w:tr>
      <w:tr w:rsidR="00B8177D" w:rsidRPr="00C24D02" w14:paraId="3BC494B5" w14:textId="77777777" w:rsidTr="003D1A59">
        <w:tc>
          <w:tcPr>
            <w:tcW w:w="2405" w:type="dxa"/>
          </w:tcPr>
          <w:p w14:paraId="79248C3B"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A24AB19"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192552118</w:t>
            </w:r>
          </w:p>
        </w:tc>
      </w:tr>
      <w:tr w:rsidR="00B8177D" w:rsidRPr="00C24D02" w14:paraId="4A1DF3FC" w14:textId="77777777" w:rsidTr="003D1A59">
        <w:trPr>
          <w:trHeight w:val="741"/>
        </w:trPr>
        <w:tc>
          <w:tcPr>
            <w:tcW w:w="2405" w:type="dxa"/>
          </w:tcPr>
          <w:p w14:paraId="7F89A730"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EDFC88F"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Soil fertility determines whether ectomycorrhizal fungi accelerate or decelerate decomposition in a temperate forest</w:t>
            </w:r>
            <w:bookmarkStart w:id="14" w:name="_Hlk218592608"/>
            <w:bookmarkEnd w:id="14"/>
          </w:p>
        </w:tc>
      </w:tr>
      <w:tr w:rsidR="00B8177D" w:rsidRPr="00C24D02" w14:paraId="004845FB" w14:textId="77777777" w:rsidTr="003D1A59">
        <w:tc>
          <w:tcPr>
            <w:tcW w:w="2405" w:type="dxa"/>
          </w:tcPr>
          <w:p w14:paraId="7A25E2CF"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A7B1E5B"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4.1.</w:t>
            </w:r>
          </w:p>
        </w:tc>
      </w:tr>
      <w:tr w:rsidR="00B8177D" w:rsidRPr="00C24D02" w14:paraId="375BFA49" w14:textId="77777777" w:rsidTr="003D1A59">
        <w:tc>
          <w:tcPr>
            <w:tcW w:w="2405" w:type="dxa"/>
          </w:tcPr>
          <w:p w14:paraId="6FB1552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11C57AB"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15B41870" w14:textId="77777777" w:rsidTr="003D1A59">
        <w:tc>
          <w:tcPr>
            <w:tcW w:w="2405" w:type="dxa"/>
          </w:tcPr>
          <w:p w14:paraId="5E9DA114"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7"/>
            </w:r>
            <w:r w:rsidRPr="00C24D02">
              <w:rPr>
                <w:rFonts w:asciiTheme="minorHAnsi" w:eastAsia="Calibri" w:hAnsiTheme="minorHAnsi" w:cstheme="minorHAnsi"/>
              </w:rPr>
              <w:t>)</w:t>
            </w:r>
          </w:p>
        </w:tc>
        <w:tc>
          <w:tcPr>
            <w:tcW w:w="6378" w:type="dxa"/>
          </w:tcPr>
          <w:p w14:paraId="60396A69"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w:t>
            </w:r>
          </w:p>
        </w:tc>
      </w:tr>
      <w:tr w:rsidR="00B8177D" w:rsidRPr="00C24D02" w14:paraId="1DEC74BE" w14:textId="77777777" w:rsidTr="003D1A59">
        <w:tc>
          <w:tcPr>
            <w:tcW w:w="2405" w:type="dxa"/>
          </w:tcPr>
          <w:p w14:paraId="391A2F72"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C9AE914"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N.</w:t>
            </w:r>
          </w:p>
        </w:tc>
      </w:tr>
    </w:tbl>
    <w:p w14:paraId="134753A6" w14:textId="77777777" w:rsidR="00B8177D" w:rsidRPr="00C24D02" w:rsidRDefault="00B8177D" w:rsidP="00B8177D">
      <w:pPr>
        <w:spacing w:after="144" w:line="360" w:lineRule="auto"/>
        <w:rPr>
          <w:rFonts w:asciiTheme="minorHAnsi" w:hAnsiTheme="minorHAnsi" w:cstheme="minorHAnsi"/>
        </w:rPr>
      </w:pPr>
    </w:p>
    <w:p w14:paraId="3260CABE"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Nedostatečný podíl na výsledku</w:t>
      </w:r>
    </w:p>
    <w:p w14:paraId="464EA0C8"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17AF69E"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 xml:space="preserve">Rozporujeme tvrzení Panelisty garanta u výsledku ev. Č. 192552118, kde je uvedeni, že podíl organizace je „poněkud diskutabilní“ vzhledem k pořadí autora v seznamu spoluautorů a jeho dřívější institucionální příslušnosti. Na podporu našeho odvolání uvádíme následující skutečnosti: Autor prof. Douglas Lawrence Godbold, Ph.D. z uplatňující organizace navrhl experimentální design, interpretoval výsledky a podílel se na přípravě rukopisu. Jeho role tedy nebyla marginální, nýbrž koncepční a zásadní pro samotný vznik publikace. Byl školitelem prvního autora publikace, čímž přímo zodpovídal za odborné vedení a realizaci experimentální části práce. Pořadí autora v seznamu spoluautorů neodráží míru vědeckého přínosu, ale je výsledkem dohody mezi autory. V daném případě se autor rozhodl z pozice hlavního řešitele a školitele zaujmout druhé místo od konce, a to z úcty k mimořádnému přínosu posledního uvedeného autora. Tento postup je běžnou praxí v mezinárodních konsorciích a nijak nesnižuje jeho autorský ani institucionální podíl. V době psaní finální verze rukopisu (konec roku 2022 a začátek roku 2023) již autor nebyl zaměstnancem univerzity BOKU, nýbrž byl zaměstnán na Mendelově univerzitě v Brně. Podstatná část přípravy textu rukopisu byla </w:t>
      </w:r>
      <w:r w:rsidRPr="00C24D02">
        <w:rPr>
          <w:rFonts w:asciiTheme="minorHAnsi" w:hAnsiTheme="minorHAnsi" w:cstheme="minorHAnsi"/>
        </w:rPr>
        <w:lastRenderedPageBreak/>
        <w:t>provedena právě na Mendelově univerzitě v Brně, která tak poskytla odborné i institucionální zázemí pro dokončení práce. Na základě výše uvedených skutečností je zřejmé, že uplatňující organizace měla významný vědecký, metodický i institucionální podíl na vytvoření výsledku, a tento podíl je doložitelný jak z hlediska přímého zapojení autora do vedení a realizace výzkumu.</w:t>
      </w:r>
    </w:p>
    <w:p w14:paraId="7553DCB1"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 xml:space="preserve">Žádáme o opětovné hodnocení výsledku. </w:t>
      </w:r>
    </w:p>
    <w:p w14:paraId="2D467594"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Jak vyplývá i ze znění námitky, výzkum byl proveden na BOKU, nikoliv na MENDELU. v době nástupu prof. Godbolda na MENDELU již probíhalo pouze finální psaní rukopisu. Proto nadále považujeme podíl MENDELU na vytvoření tohoto výstupu jako nedostatečný.</w:t>
      </w:r>
    </w:p>
    <w:p w14:paraId="03196B3D"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N.</w:t>
      </w:r>
    </w:p>
    <w:p w14:paraId="0133A6AE" w14:textId="77777777" w:rsidR="00B8177D" w:rsidRPr="00C24D02" w:rsidRDefault="00B8177D" w:rsidP="00B8177D">
      <w:pPr>
        <w:spacing w:before="240" w:after="144" w:line="360" w:lineRule="auto"/>
        <w:jc w:val="both"/>
        <w:rPr>
          <w:rFonts w:asciiTheme="minorHAnsi" w:hAnsiTheme="minorHAnsi" w:cstheme="minorHAnsi"/>
          <w:b/>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p>
    <w:p w14:paraId="358E1870"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rPr>
        <w:t>Při hodnocení je nutno postupovat dle oddílu 4.2 Zajištění podkladů pro hodnocení vybraného výsledku, písmen d) a e) Postupu</w:t>
      </w:r>
      <w:r w:rsidRPr="00C24D02">
        <w:rPr>
          <w:rStyle w:val="Znakapoznpodarou"/>
          <w:rFonts w:asciiTheme="minorHAnsi" w:eastAsiaTheme="majorEastAsia" w:hAnsiTheme="minorHAnsi" w:cstheme="minorHAnsi"/>
        </w:rPr>
        <w:footnoteReference w:id="18"/>
      </w:r>
      <w:r w:rsidRPr="00C24D02">
        <w:rPr>
          <w:rFonts w:asciiTheme="minorHAnsi" w:hAnsiTheme="minorHAnsi" w:cstheme="minorHAnsi"/>
        </w:rPr>
        <w:t xml:space="preserve">, ve kterém je uvedeno: </w:t>
      </w:r>
    </w:p>
    <w:p w14:paraId="274C4624" w14:textId="77777777" w:rsidR="00B8177D" w:rsidRPr="00C24D02" w:rsidRDefault="00B8177D" w:rsidP="00B8177D">
      <w:pPr>
        <w:spacing w:before="240" w:after="144" w:line="360" w:lineRule="auto"/>
        <w:jc w:val="both"/>
        <w:rPr>
          <w:rFonts w:asciiTheme="minorHAnsi" w:hAnsiTheme="minorHAnsi" w:cstheme="minorHAnsi"/>
          <w:i/>
          <w:iCs/>
        </w:rPr>
      </w:pPr>
      <w:r w:rsidRPr="00C24D02">
        <w:rPr>
          <w:rFonts w:asciiTheme="minorHAnsi" w:hAnsiTheme="minorHAnsi" w:cstheme="minorHAnsi"/>
          <w:i/>
          <w:iCs/>
        </w:rPr>
        <w:t xml:space="preserve">d. Hodnotitel se ve svém posudku vyjadřuje pouze ke kvalitě výsledků a nebere ohled na podíl autorů výzkumné organizace. </w:t>
      </w:r>
    </w:p>
    <w:p w14:paraId="342BA86C" w14:textId="77777777" w:rsidR="00B8177D" w:rsidRPr="00C24D02" w:rsidRDefault="00B8177D" w:rsidP="00B8177D">
      <w:pPr>
        <w:spacing w:before="240" w:after="144" w:line="360" w:lineRule="auto"/>
        <w:jc w:val="both"/>
        <w:rPr>
          <w:rFonts w:asciiTheme="minorHAnsi" w:hAnsiTheme="minorHAnsi" w:cstheme="minorHAnsi"/>
          <w:i/>
          <w:iCs/>
        </w:rPr>
      </w:pPr>
      <w:r w:rsidRPr="00C24D02">
        <w:rPr>
          <w:rFonts w:asciiTheme="minorHAnsi" w:hAnsiTheme="minorHAnsi" w:cstheme="minorHAnsi"/>
          <w:i/>
          <w:iCs/>
        </w:rPr>
        <w:t>e. Panelisté při výsledné kontrole podílu organizace na vzniku výsledku mohou po schválení předsedou Odborného panelu výsledek zamítnout, pokud mají indicie, že podíl přihlašující instituce byl marginální (technicky zaškrtnutím pole (N) v aplikaci SKV). V případě, že takové indicie nemají, posuzují i oni výsledek z hlediska kvality jako celek.</w:t>
      </w:r>
    </w:p>
    <w:p w14:paraId="4C9CFEF2" w14:textId="2D683AD0" w:rsidR="00B8177D" w:rsidRPr="003C778F" w:rsidRDefault="00B8177D"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 hodnocení.</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7789F02C" w14:textId="77777777" w:rsidTr="003D1A59">
        <w:tc>
          <w:tcPr>
            <w:tcW w:w="2405" w:type="dxa"/>
          </w:tcPr>
          <w:p w14:paraId="3DED6806"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7BC8D6A"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UPOL - CATRIN</w:t>
            </w:r>
          </w:p>
        </w:tc>
      </w:tr>
      <w:tr w:rsidR="00B8177D" w:rsidRPr="00C24D02" w14:paraId="7458D038" w14:textId="77777777" w:rsidTr="003D1A59">
        <w:tc>
          <w:tcPr>
            <w:tcW w:w="2405" w:type="dxa"/>
          </w:tcPr>
          <w:p w14:paraId="01CFD1EE"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Evidenční číslo</w:t>
            </w:r>
          </w:p>
        </w:tc>
        <w:tc>
          <w:tcPr>
            <w:tcW w:w="6378" w:type="dxa"/>
          </w:tcPr>
          <w:p w14:paraId="1CB55A60"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192519007</w:t>
            </w:r>
          </w:p>
        </w:tc>
      </w:tr>
      <w:tr w:rsidR="00B8177D" w:rsidRPr="00C24D02" w14:paraId="6B6116D2" w14:textId="77777777" w:rsidTr="003D1A59">
        <w:trPr>
          <w:trHeight w:val="741"/>
        </w:trPr>
        <w:tc>
          <w:tcPr>
            <w:tcW w:w="2405" w:type="dxa"/>
          </w:tcPr>
          <w:p w14:paraId="0E38DFCB"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36EE3481"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Visualization of π-hole in molecules by means of Kelvin probe force microscopy</w:t>
            </w:r>
            <w:bookmarkStart w:id="15" w:name="_Hlk218593042"/>
            <w:bookmarkEnd w:id="15"/>
          </w:p>
        </w:tc>
      </w:tr>
      <w:tr w:rsidR="00B8177D" w:rsidRPr="00C24D02" w14:paraId="55735423" w14:textId="77777777" w:rsidTr="003D1A59">
        <w:tc>
          <w:tcPr>
            <w:tcW w:w="2405" w:type="dxa"/>
          </w:tcPr>
          <w:p w14:paraId="06B56DF4"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947E043"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w:t>
            </w:r>
          </w:p>
        </w:tc>
      </w:tr>
      <w:tr w:rsidR="00B8177D" w:rsidRPr="00C24D02" w14:paraId="271A3BB1" w14:textId="77777777" w:rsidTr="003D1A59">
        <w:tc>
          <w:tcPr>
            <w:tcW w:w="2405" w:type="dxa"/>
          </w:tcPr>
          <w:p w14:paraId="446FAED6"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B9325B5"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27A3F1A4" w14:textId="77777777" w:rsidTr="003D1A59">
        <w:tc>
          <w:tcPr>
            <w:tcW w:w="2405" w:type="dxa"/>
          </w:tcPr>
          <w:p w14:paraId="3470ABDA"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9"/>
            </w:r>
            <w:r w:rsidRPr="00C24D02">
              <w:rPr>
                <w:rFonts w:asciiTheme="minorHAnsi" w:eastAsia="Calibri" w:hAnsiTheme="minorHAnsi" w:cstheme="minorHAnsi"/>
              </w:rPr>
              <w:t>)</w:t>
            </w:r>
          </w:p>
        </w:tc>
        <w:tc>
          <w:tcPr>
            <w:tcW w:w="6378" w:type="dxa"/>
          </w:tcPr>
          <w:p w14:paraId="617D86A9"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w:t>
            </w:r>
          </w:p>
        </w:tc>
      </w:tr>
      <w:tr w:rsidR="00B8177D" w:rsidRPr="00C24D02" w14:paraId="7C3D1065" w14:textId="77777777" w:rsidTr="003D1A59">
        <w:tc>
          <w:tcPr>
            <w:tcW w:w="2405" w:type="dxa"/>
          </w:tcPr>
          <w:p w14:paraId="5779D7CD"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858A84A"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N.</w:t>
            </w:r>
          </w:p>
        </w:tc>
      </w:tr>
    </w:tbl>
    <w:p w14:paraId="4DAAFA16" w14:textId="77777777" w:rsidR="00B8177D" w:rsidRPr="00C24D02" w:rsidRDefault="00B8177D" w:rsidP="00B8177D">
      <w:pPr>
        <w:spacing w:after="144" w:line="360" w:lineRule="auto"/>
        <w:rPr>
          <w:rFonts w:asciiTheme="minorHAnsi" w:hAnsiTheme="minorHAnsi" w:cstheme="minorHAnsi"/>
        </w:rPr>
      </w:pPr>
    </w:p>
    <w:p w14:paraId="33490086"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Nedostatečný podíl VO</w:t>
      </w:r>
    </w:p>
    <w:p w14:paraId="12A5E90D"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01EA5F6F"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Rozhodnutí „nelze posoudit tvůrčí podíl organizace“ neodpovídá faktům. Žádáme o opětovné zařazení do M1 a standardní ohodnocení.</w:t>
      </w:r>
    </w:p>
    <w:p w14:paraId="175BD249"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Zdůvodnění</w:t>
      </w:r>
    </w:p>
    <w:p w14:paraId="389EED66"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Personální podíl UP: Z 8 autorů je 5 afiliováno k UP, včetně jednoho ze dvou prvních autorů (B. Mallada – v době publikace PhD student UP) a 2 ze 3 korespondujících autorů (B. de la Torre, P. Jelínek) působících v CATRIN. Bruno de la Torre je vedoucím výzkumné skupiny CATRIN zaměřené na Kelvinovu sondovou mikroskopii, tedy na metodu klíčovou pro vznik tohoto výsledku, a uvedením kontaktního e-mailu s doménou @upol.cz v publikaci jednoznačně deklaroval, že tuto práci korespondoval jako zaměstnanec Univerzity Palackého, která je jeho hlavním pracovištěm. Kontaktní e-maily tří korespondenčních autorů každý pod hlavičkou jedné z tří institucí UP, ÚOCHB AV ČR a FZÚ AV ČR potvrzují, že práce vznikla ve spolupráci těchto tří hlavních institucí, z nichž každá nesla klíčový podíl. Takové rozdělení korespondenčních autorů je záměrnou formou přiznání zásadní tvůrčí role každé z těchto tří institucí.</w:t>
      </w:r>
    </w:p>
    <w:p w14:paraId="44063959"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 Projektové a finanční zázemí UP: Korespondující autor B. de la Torre výslovně děkuje výhradně projektu GAČR Junior Star 23-06781M (řešen na UP). Dále je uvedena podpora projektu OP VVV Nanotechnologie pro budoucnost (CZ.02.1.01/…/0000754) řešeného rovněž výhradně na UP. Oba PhD studenti UP děkují výhradně projektům IGA UP. Klíčové experimenty (Kelvinova sondová mikroskopie v UHV) proběhly na infrastruktuře CATRIN.</w:t>
      </w:r>
    </w:p>
    <w:p w14:paraId="3DD2D643"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Věcný kontext a kontinuita: Práce navazuje na předchozí publikaci v časopise Science (2021) téhož kolektivu (vizualizace sigma-hole), která byla v M1 akceptována; současný výsledek je přirozeným pokračováním téhož směru na UP.</w:t>
      </w:r>
    </w:p>
    <w:p w14:paraId="5C729464"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Závěr</w:t>
      </w:r>
    </w:p>
    <w:p w14:paraId="32B3A82E"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Tvůrčí podíl UP je doložen autorstvím, korespondenčním autorstvím, projekty, financemi i využitím infrastruktury. Žádáme o zrušení vyřazení, opětovné zařazení do M1 a posouzení dle standardních kritérií.</w:t>
      </w:r>
    </w:p>
    <w:p w14:paraId="3147BD1C"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Výzkumná organizace rozporuje vyřazení výsledku z hodnocení na základě nedostatečných informací pro posouzení tvůrčího podílu organizace. To zdůvodňuje pěti z osmi autorů afiliovanými UP, vč. jednoho ze dvou prvních autorů a dvou ze tří korespondujících autorů. Toto organizace podporuje informací, že B. Torre (jeden z korespondujících autorů UP) je vedoucí skupiny na CATRIN a UP jako hlavní pracoviště potvrdil kontaktním emailem v doméně upol.cz. Na základě kontaktního emailu nelze posoudit podíl instituce u násobných afiliací autorů, zejména když druhý korespondující autor s afiliací UP (P. Jelínek) uvádí v článku kontaktní email s doménou fzu.cz. Dále organizace zdůvodňuje svůj podíl na základě poděkování grantům, které jsou řešeny na UP. Poděkování projektům ale nelze k posouzení použít, protože přímo nevypovídá o podílu instituce na vzniku výsledku. Část poděkování neobsahuje informace o místě řešení grantu, ani účelu jeho využití v rámci řešení práce. Tyto informace neobsahuje ani zdůvodnění výsledku. Panel poukazuje zejména na to, že všichni autoři s afiliací k UP na výsledku vykazují 1 až 3 další afiliace a ve zdůvodnění výsledku i námitce k vyřazení nejsou tyto násobné afiliace nijak zdůvodněny. Po projednání námitek panel trvá na hodnocení N.</w:t>
      </w:r>
    </w:p>
    <w:p w14:paraId="282EB131"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N.</w:t>
      </w:r>
    </w:p>
    <w:p w14:paraId="22506C5C" w14:textId="77777777" w:rsidR="00B8177D" w:rsidRPr="00C24D02" w:rsidRDefault="00B8177D" w:rsidP="00B8177D">
      <w:pPr>
        <w:spacing w:before="240" w:after="144" w:line="360" w:lineRule="auto"/>
        <w:jc w:val="both"/>
        <w:rPr>
          <w:rFonts w:asciiTheme="minorHAnsi" w:hAnsiTheme="minorHAnsi" w:cstheme="minorHAnsi"/>
          <w:b/>
          <w:bCs/>
          <w:u w:val="single"/>
        </w:rPr>
      </w:pPr>
      <w:r w:rsidRPr="00C24D02">
        <w:rPr>
          <w:rFonts w:asciiTheme="minorHAnsi" w:hAnsiTheme="minorHAnsi" w:cstheme="minorHAnsi"/>
          <w:b/>
          <w:bCs/>
          <w:u w:val="single"/>
        </w:rPr>
        <w:lastRenderedPageBreak/>
        <w:t xml:space="preserve">Vyjádření Sekce pro vědu, výzkum a inovace: </w:t>
      </w:r>
      <w:r w:rsidRPr="00C24D02">
        <w:rPr>
          <w:rFonts w:asciiTheme="minorHAnsi" w:hAnsiTheme="minorHAnsi" w:cstheme="minorHAnsi"/>
        </w:rPr>
        <w:t>bez vyjádření.</w:t>
      </w:r>
    </w:p>
    <w:p w14:paraId="49C62251" w14:textId="12A5129C"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Doporučuje, aby UP u výsledků nominovaných k hodnocení v Modulu M1 věnovala větší pozornost odůvodnění autorského podílu a konkrétněji specifikovala přínos pracovišť UP ke vzniku výsledku.</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785455F4" w14:textId="77777777" w:rsidTr="003D1A59">
        <w:tc>
          <w:tcPr>
            <w:tcW w:w="2405" w:type="dxa"/>
          </w:tcPr>
          <w:p w14:paraId="511F6354"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3C327F8F"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UPOL - CATRIN</w:t>
            </w:r>
          </w:p>
        </w:tc>
      </w:tr>
      <w:tr w:rsidR="00B8177D" w:rsidRPr="00C24D02" w14:paraId="0AE0092E" w14:textId="77777777" w:rsidTr="003D1A59">
        <w:tc>
          <w:tcPr>
            <w:tcW w:w="2405" w:type="dxa"/>
          </w:tcPr>
          <w:p w14:paraId="56727D02"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13289E0"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192557373</w:t>
            </w:r>
          </w:p>
        </w:tc>
      </w:tr>
      <w:tr w:rsidR="00B8177D" w:rsidRPr="00C24D02" w14:paraId="4EF82725" w14:textId="77777777" w:rsidTr="003D1A59">
        <w:trPr>
          <w:trHeight w:val="741"/>
        </w:trPr>
        <w:tc>
          <w:tcPr>
            <w:tcW w:w="2405" w:type="dxa"/>
          </w:tcPr>
          <w:p w14:paraId="4FCCE308"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022E8D87"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The isocyanide SN2 reaction</w:t>
            </w:r>
            <w:bookmarkStart w:id="16" w:name="_Hlk218593076"/>
            <w:bookmarkEnd w:id="16"/>
          </w:p>
        </w:tc>
      </w:tr>
      <w:tr w:rsidR="00B8177D" w:rsidRPr="00C24D02" w14:paraId="0179D07C" w14:textId="77777777" w:rsidTr="003D1A59">
        <w:tc>
          <w:tcPr>
            <w:tcW w:w="2405" w:type="dxa"/>
          </w:tcPr>
          <w:p w14:paraId="21028BA4"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9B3CAD9"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w:t>
            </w:r>
          </w:p>
        </w:tc>
      </w:tr>
      <w:tr w:rsidR="00B8177D" w:rsidRPr="00C24D02" w14:paraId="6E4B58FC" w14:textId="77777777" w:rsidTr="003D1A59">
        <w:tc>
          <w:tcPr>
            <w:tcW w:w="2405" w:type="dxa"/>
          </w:tcPr>
          <w:p w14:paraId="393FDD0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620ED697"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62244E57" w14:textId="77777777" w:rsidTr="003D1A59">
        <w:tc>
          <w:tcPr>
            <w:tcW w:w="2405" w:type="dxa"/>
          </w:tcPr>
          <w:p w14:paraId="5BA1BE98"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20"/>
            </w:r>
            <w:r w:rsidRPr="00C24D02">
              <w:rPr>
                <w:rFonts w:asciiTheme="minorHAnsi" w:eastAsia="Calibri" w:hAnsiTheme="minorHAnsi" w:cstheme="minorHAnsi"/>
              </w:rPr>
              <w:t>)</w:t>
            </w:r>
          </w:p>
        </w:tc>
        <w:tc>
          <w:tcPr>
            <w:tcW w:w="6378" w:type="dxa"/>
          </w:tcPr>
          <w:p w14:paraId="6719C195"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w:t>
            </w:r>
          </w:p>
        </w:tc>
      </w:tr>
      <w:tr w:rsidR="00B8177D" w:rsidRPr="00C24D02" w14:paraId="1A468B92" w14:textId="77777777" w:rsidTr="003D1A59">
        <w:tc>
          <w:tcPr>
            <w:tcW w:w="2405" w:type="dxa"/>
          </w:tcPr>
          <w:p w14:paraId="25DE37F3"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9151EAC"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N.</w:t>
            </w:r>
          </w:p>
        </w:tc>
      </w:tr>
    </w:tbl>
    <w:p w14:paraId="1F6526C6" w14:textId="77777777" w:rsidR="00B8177D" w:rsidRPr="00C24D02" w:rsidRDefault="00B8177D" w:rsidP="00B8177D">
      <w:pPr>
        <w:spacing w:after="144" w:line="360" w:lineRule="auto"/>
        <w:rPr>
          <w:rFonts w:asciiTheme="minorHAnsi" w:hAnsiTheme="minorHAnsi" w:cstheme="minorHAnsi"/>
        </w:rPr>
      </w:pPr>
    </w:p>
    <w:p w14:paraId="068D3F64"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Nedostatečný podíl VO</w:t>
      </w:r>
    </w:p>
    <w:p w14:paraId="73C5A169"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7FCE4149"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Výrok o „nejasném tvůrčím podílu UP“ </w:t>
      </w:r>
      <w:r w:rsidRPr="00C24D02">
        <w:rPr>
          <w:rFonts w:asciiTheme="minorHAnsi" w:hAnsiTheme="minorHAnsi" w:cstheme="minorHAnsi"/>
          <w:b/>
          <w:bCs/>
        </w:rPr>
        <w:t>neodpovídá realitě</w:t>
      </w:r>
      <w:r w:rsidRPr="00C24D02">
        <w:rPr>
          <w:rFonts w:asciiTheme="minorHAnsi" w:hAnsiTheme="minorHAnsi" w:cstheme="minorHAnsi"/>
        </w:rPr>
        <w:t xml:space="preserve">. Žádáme o </w:t>
      </w:r>
      <w:r w:rsidRPr="00C24D02">
        <w:rPr>
          <w:rFonts w:asciiTheme="minorHAnsi" w:hAnsiTheme="minorHAnsi" w:cstheme="minorHAnsi"/>
          <w:b/>
          <w:bCs/>
        </w:rPr>
        <w:t xml:space="preserve">opětovné zařazení do M1 </w:t>
      </w:r>
      <w:r w:rsidRPr="00C24D02">
        <w:rPr>
          <w:rFonts w:asciiTheme="minorHAnsi" w:hAnsiTheme="minorHAnsi" w:cstheme="minorHAnsi"/>
        </w:rPr>
        <w:t>a standardní ohodnocení.</w:t>
      </w:r>
    </w:p>
    <w:p w14:paraId="26AB8F5F"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Zdůvodnění</w:t>
      </w:r>
    </w:p>
    <w:p w14:paraId="1EA8011C"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Personální a odpovědnostní vazba k UP: Ze 4 autorů jsou 2 afiliováni k UP (včetně jednoho z prvních autorů a korespondenčního autora). Prof. A. Dömling je ERA Chair holder projektu ERA Chair Accelerator (GA 101087318) řešeného výhradně na UP, vede výzkumnou skupinu v CATRIN a je zaměstnán na plný úvazek na UP; stejně jako první autor dr. P. Patil. </w:t>
      </w:r>
      <w:r w:rsidRPr="00C24D02">
        <w:rPr>
          <w:rFonts w:asciiTheme="minorHAnsi" w:hAnsiTheme="minorHAnsi" w:cstheme="minorHAnsi"/>
        </w:rPr>
        <w:lastRenderedPageBreak/>
        <w:t>Korespondenční e-mail v doméně @upol.cz potvrzuje, že UP byla hlavní a jedinou institucí pro komunikaci s časopisem.</w:t>
      </w:r>
    </w:p>
    <w:p w14:paraId="2E3F6198"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Místo a doba vzniku výsledku: Ač část prací začala v Groningen, zásadní část experimentů, analýzy a sepsání rukopisu proběhly na UP; článek byl přijat a vydán v r. 2023, kdy první i korespondenční autor byli výhradně zaměstnanci UP. Uvedení dřívější afiliace je běžný etický standard a nemůže být interpretován jako zpochybnění role UP.</w:t>
      </w:r>
    </w:p>
    <w:p w14:paraId="508FD690"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Finanční a organizační rámec UP: V Acknowledgements je výslovně uvedena podpora ERA Chair Accelerator řešeného výhradně na UP; projekt vytvořil podmínky pro dokončení výzkumu a rozvoj nového konceptu SN2 reakce izokyanidů.</w:t>
      </w:r>
    </w:p>
    <w:p w14:paraId="3927440E"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Vědecká hodnota a dopad: Jde o průlomový výsledek v organické syntéze (nový typ nukleofilní substituce s izokyanidy), s významem pro medicinální chemii a mezinárodní viditelností UP.</w:t>
      </w:r>
    </w:p>
    <w:p w14:paraId="326A9C96"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Závěr</w:t>
      </w:r>
    </w:p>
    <w:p w14:paraId="3F05F59E"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Tvůrčí podíl UP je jednoznačně prokázán (autorství, korespondenční role, zaměstnanecké a projektové vazby). Žádáme o zrušení vyřazení, opětovné zařazení do M1 a posouzení dle standardních kritérií.</w:t>
      </w:r>
    </w:p>
    <w:p w14:paraId="62AC810B"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Výzkumná organizace podává námitku k vyřazení výsledku z hodnocení na základě nedostatečného zdůvodnění tvůrčího podílu UP na jeho vzniku. V rámci námitky výzkumná organizace doplňuje celou řadu podpůrných informací k doložení tvůrčího podílu organizace. Na základě kontaktního emailu nelze posoudit podíl instituce u násobných afiliací autorů. Dále organizace zdůvodňuje svůj podíl na základě poděkování grantu, který je řešen na UP. Poděkování projektům ale nelze k posouzení použít, protože přímo nevypovídá o podílu instituce na vzniku výsledku. Část poděkování neobsahuje informace o místě řešení grantu, ani účelu jeho využití v rámci řešení práce. Tyto informace neobsahuje ani zdůvodnění výsledku. Panel poukazuje zejména na to, že oba autoři s afiliací k UP na výsledku vykazují afiliaci k zahraniční instituci a ve zdůvodnění výsledku není tato afiliace nijak zdůvodněna. Organizace poskytla v rámci námitky novou informaci o místu a době vzniku výsledku: "Ač část prací začala v Groningen, zásadní část experimentů, analýzy a sepsání rukopisu proběhly na UP; článek byl přijat a vydán v r. 2023, kdy první i korespondenční autor byli výhradně zaměstnanci UP. Uvedení dřívější afiliace je běžný etický standard a nemůže být interpretován </w:t>
      </w:r>
      <w:r w:rsidRPr="00C24D02">
        <w:rPr>
          <w:rFonts w:asciiTheme="minorHAnsi" w:hAnsiTheme="minorHAnsi" w:cstheme="minorHAnsi"/>
        </w:rPr>
        <w:lastRenderedPageBreak/>
        <w:t>jako zpochybnění role UP." Sama organizace tak přiznává, že práce byla iniciována a rozpracována autorem na zahraničním pracovišti, která tak má zásadní podíl na vzniku práce. Organizace argumentuje zásadní podíl na experimentech a sepsání práce na základě informace, že byli v roce 2023 (doba publikace článku) již oba autoři zaměstnanci UP na plný úvazek. Organizace už ale nekomentuje přesnou dobu vzniku jejich pracovního poměru na UP. Po projednání námitky se panel shoduje, že na základě předložených informací nebyl podíl UP dostatečně prokázán. Panel současně upozorňuje, že změna hodnocení nemůže už z principu být založena na uvádění nových skutečností, které VO opomenula uvést v původním zdůvodnění. Panel neshledal žádné procesní ani věcné pochybení a trvá na původním hodnocení, které na základě předložených podkladů rigorózně provedl.</w:t>
      </w:r>
    </w:p>
    <w:p w14:paraId="0EDF6A40"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N.</w:t>
      </w:r>
    </w:p>
    <w:p w14:paraId="2BFBD844" w14:textId="77777777" w:rsidR="00B8177D" w:rsidRPr="00C24D02" w:rsidRDefault="00B8177D" w:rsidP="00B8177D">
      <w:pPr>
        <w:spacing w:before="240" w:after="144" w:line="360" w:lineRule="auto"/>
        <w:jc w:val="both"/>
        <w:rPr>
          <w:rFonts w:asciiTheme="minorHAnsi" w:hAnsiTheme="minorHAnsi" w:cstheme="minorHAnsi"/>
          <w:b/>
          <w:bCs/>
          <w:u w:val="single"/>
        </w:rPr>
      </w:pPr>
      <w:r w:rsidRPr="00C24D02">
        <w:rPr>
          <w:rFonts w:asciiTheme="minorHAnsi" w:hAnsiTheme="minorHAnsi" w:cstheme="minorHAnsi"/>
          <w:b/>
          <w:bCs/>
          <w:u w:val="single"/>
        </w:rPr>
        <w:t xml:space="preserve">Vyjádření Sekce pro vědu, výzkum a inovace: </w:t>
      </w:r>
      <w:r w:rsidRPr="00C24D02">
        <w:rPr>
          <w:rFonts w:asciiTheme="minorHAnsi" w:hAnsiTheme="minorHAnsi" w:cstheme="minorHAnsi"/>
        </w:rPr>
        <w:t>bez vyjádření.</w:t>
      </w:r>
    </w:p>
    <w:p w14:paraId="77A47953"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Doporučuje, aby UP u výsledků nominovaných k hodnocení v Modulu M1 věnovala větší pozornost odůvodnění autorského podílu a konkrétněji specifikovala přínos pracovišť UP ke vzniku výsledku.</w:t>
      </w:r>
    </w:p>
    <w:p w14:paraId="7BCF5012" w14:textId="77777777" w:rsidR="00B8177D" w:rsidRPr="00C24D02" w:rsidRDefault="00B8177D" w:rsidP="00B8177D">
      <w:pPr>
        <w:spacing w:before="240" w:after="144" w:line="360" w:lineRule="auto"/>
        <w:jc w:val="both"/>
        <w:rPr>
          <w:rFonts w:asciiTheme="minorHAnsi" w:hAnsiTheme="minorHAnsi" w:cstheme="minorHAnsi"/>
        </w:rPr>
      </w:pP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5C0A9E8D" w14:textId="77777777" w:rsidTr="003D1A59">
        <w:tc>
          <w:tcPr>
            <w:tcW w:w="2405" w:type="dxa"/>
          </w:tcPr>
          <w:p w14:paraId="5B3FCA88"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3949B752"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fyzikální chemie J. Heyrovského AV ČR</w:t>
            </w:r>
          </w:p>
        </w:tc>
      </w:tr>
      <w:tr w:rsidR="00B8177D" w:rsidRPr="00C24D02" w14:paraId="35B6CC8B" w14:textId="77777777" w:rsidTr="003D1A59">
        <w:tc>
          <w:tcPr>
            <w:tcW w:w="2405" w:type="dxa"/>
          </w:tcPr>
          <w:p w14:paraId="1E71784B"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2208C66"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192417300</w:t>
            </w:r>
          </w:p>
        </w:tc>
      </w:tr>
      <w:tr w:rsidR="00B8177D" w:rsidRPr="00C24D02" w14:paraId="07C20E1D" w14:textId="77777777" w:rsidTr="003D1A59">
        <w:trPr>
          <w:trHeight w:val="741"/>
        </w:trPr>
        <w:tc>
          <w:tcPr>
            <w:tcW w:w="2405" w:type="dxa"/>
          </w:tcPr>
          <w:p w14:paraId="40D1BFC6"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49B6E027"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Influence of different covalent immobilization protocols on electroanalytical performance of laccase-based biosensors</w:t>
            </w:r>
            <w:bookmarkStart w:id="17" w:name="_Hlk218593323"/>
            <w:bookmarkEnd w:id="17"/>
          </w:p>
        </w:tc>
      </w:tr>
      <w:tr w:rsidR="00B8177D" w:rsidRPr="00C24D02" w14:paraId="5F2EDB18" w14:textId="77777777" w:rsidTr="003D1A59">
        <w:tc>
          <w:tcPr>
            <w:tcW w:w="2405" w:type="dxa"/>
          </w:tcPr>
          <w:p w14:paraId="3AA42F20"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47B0A821"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w:t>
            </w:r>
          </w:p>
        </w:tc>
      </w:tr>
      <w:tr w:rsidR="00B8177D" w:rsidRPr="00C24D02" w14:paraId="0F3B626A" w14:textId="77777777" w:rsidTr="003D1A59">
        <w:tc>
          <w:tcPr>
            <w:tcW w:w="2405" w:type="dxa"/>
          </w:tcPr>
          <w:p w14:paraId="2398112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1BD681B9"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2382C702" w14:textId="77777777" w:rsidTr="003D1A59">
        <w:tc>
          <w:tcPr>
            <w:tcW w:w="2405" w:type="dxa"/>
          </w:tcPr>
          <w:p w14:paraId="743B2591"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21"/>
            </w:r>
            <w:r w:rsidRPr="00C24D02">
              <w:rPr>
                <w:rFonts w:asciiTheme="minorHAnsi" w:eastAsia="Calibri" w:hAnsiTheme="minorHAnsi" w:cstheme="minorHAnsi"/>
              </w:rPr>
              <w:t>)</w:t>
            </w:r>
          </w:p>
        </w:tc>
        <w:tc>
          <w:tcPr>
            <w:tcW w:w="6378" w:type="dxa"/>
          </w:tcPr>
          <w:p w14:paraId="1C1D1A33"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w:t>
            </w:r>
          </w:p>
        </w:tc>
      </w:tr>
      <w:tr w:rsidR="00B8177D" w:rsidRPr="00C24D02" w14:paraId="3C726D96" w14:textId="77777777" w:rsidTr="003D1A59">
        <w:tc>
          <w:tcPr>
            <w:tcW w:w="2405" w:type="dxa"/>
          </w:tcPr>
          <w:p w14:paraId="6B195F3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Návrh rozhodnutí Rady</w:t>
            </w:r>
          </w:p>
        </w:tc>
        <w:tc>
          <w:tcPr>
            <w:tcW w:w="6378" w:type="dxa"/>
          </w:tcPr>
          <w:p w14:paraId="47665908" w14:textId="77777777" w:rsidR="00B8177D" w:rsidRPr="00C24D02" w:rsidRDefault="00B8177D" w:rsidP="003D1A59">
            <w:pPr>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p>
        </w:tc>
      </w:tr>
    </w:tbl>
    <w:p w14:paraId="0CE2D9A1" w14:textId="77777777" w:rsidR="00B8177D" w:rsidRPr="00C24D02" w:rsidRDefault="00B8177D" w:rsidP="00B8177D">
      <w:pPr>
        <w:spacing w:after="144" w:line="360" w:lineRule="auto"/>
        <w:rPr>
          <w:rFonts w:asciiTheme="minorHAnsi" w:hAnsiTheme="minorHAnsi" w:cstheme="minorHAnsi"/>
        </w:rPr>
      </w:pPr>
    </w:p>
    <w:p w14:paraId="75C3A98F"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Nedostatečný podíl VO</w:t>
      </w:r>
    </w:p>
    <w:p w14:paraId="6E4CDC5D"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5AEE116"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…..Členové výzkumné organizace významně přispěli k této výzkumné práci, jelikož S. Tvorynska a B. Josypčuk navrhli koncept a rovnocenně provedli veškerou experimentální práci. S Tvorynska byla plně zodpovědná za napsání původního rukopisu a jeho vizualizaci, zatímco B. Josypčuk se podílel na řízení recenze a editaci rukopisu. Třetím autorem této práce je J. Barek u UK, který byl zapojen do diskuzí o výsledcích a podílel se na recenzním a editačním zpracování rukopisu.  </w:t>
      </w:r>
    </w:p>
    <w:p w14:paraId="70FDC1DC"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Hodnocený výsledek byl vyřazen z hodnocení z důvodu chybějícího zdůvodnění tvůrčího podílu výzkumné organice na vzniku výsledku. S. Tvorynska je první a zároveň korespondující autorkou hodnoceného článku. V článku ale vykazuje afiliaci i k další výzkumné organizaci (PřF UK). Tato násobná afiliace není komentována ve zdůvodnění výsledku ani v komentáři k hodnocení, kde je diskutován jen podíl autorů, ale ne druhá afiliace autorky. Panel dál doporučuje hodnocení N.</w:t>
      </w:r>
    </w:p>
    <w:p w14:paraId="52030FF4"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N.</w:t>
      </w:r>
    </w:p>
    <w:p w14:paraId="5A87E75E" w14:textId="77777777" w:rsidR="00B8177D" w:rsidRPr="00C24D02" w:rsidRDefault="00B8177D" w:rsidP="00B8177D">
      <w:pPr>
        <w:spacing w:before="240" w:after="144" w:line="360" w:lineRule="auto"/>
        <w:jc w:val="both"/>
        <w:rPr>
          <w:rFonts w:asciiTheme="minorHAnsi" w:hAnsiTheme="minorHAnsi" w:cstheme="minorHAnsi"/>
          <w:b/>
          <w:bCs/>
          <w:u w:val="single"/>
        </w:rPr>
      </w:pPr>
      <w:r w:rsidRPr="00C24D02">
        <w:rPr>
          <w:rFonts w:asciiTheme="minorHAnsi" w:hAnsiTheme="minorHAnsi" w:cstheme="minorHAnsi"/>
          <w:b/>
          <w:bCs/>
          <w:u w:val="single"/>
        </w:rPr>
        <w:t xml:space="preserve">Vyjádření Sekce pro vědu, výzkum a inovace: </w:t>
      </w:r>
      <w:r w:rsidRPr="00C24D02">
        <w:rPr>
          <w:rFonts w:asciiTheme="minorHAnsi" w:hAnsiTheme="minorHAnsi" w:cstheme="minorHAnsi"/>
        </w:rPr>
        <w:t>bez vyjádření.</w:t>
      </w:r>
    </w:p>
    <w:p w14:paraId="3B18DB04" w14:textId="61C7A45D"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nesouhlasí s vyjádřením panelu. V případě, kdy má publikace celkem tři autory, přičemž první a zároveň korespondující autor a pak ještě jeden další jsou z dané VO, není možné označit přínos VO za marginální. Tento výsledek měl být hodnocen a KHV jej proto navrhuje vrátit do hodnocení.</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0D1ED388" w14:textId="77777777" w:rsidTr="003D1A59">
        <w:tc>
          <w:tcPr>
            <w:tcW w:w="2405" w:type="dxa"/>
          </w:tcPr>
          <w:p w14:paraId="439701C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32BA9D4"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VŠB-TUO - IT4INNOVATIONS</w:t>
            </w:r>
          </w:p>
        </w:tc>
      </w:tr>
      <w:tr w:rsidR="00B8177D" w:rsidRPr="00C24D02" w14:paraId="75065417" w14:textId="77777777" w:rsidTr="003D1A59">
        <w:tc>
          <w:tcPr>
            <w:tcW w:w="2405" w:type="dxa"/>
          </w:tcPr>
          <w:p w14:paraId="72A5ADA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9037758"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192271874</w:t>
            </w:r>
          </w:p>
        </w:tc>
      </w:tr>
      <w:tr w:rsidR="00B8177D" w:rsidRPr="00C24D02" w14:paraId="1080F4C1" w14:textId="77777777" w:rsidTr="003D1A59">
        <w:trPr>
          <w:trHeight w:val="741"/>
        </w:trPr>
        <w:tc>
          <w:tcPr>
            <w:tcW w:w="2405" w:type="dxa"/>
          </w:tcPr>
          <w:p w14:paraId="0ED4F07E"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Název</w:t>
            </w:r>
          </w:p>
        </w:tc>
        <w:tc>
          <w:tcPr>
            <w:tcW w:w="6378" w:type="dxa"/>
          </w:tcPr>
          <w:p w14:paraId="1A1AC840"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The role of ultrafast magnon generation in the magnetization dynamics of rare-earth metals</w:t>
            </w:r>
          </w:p>
        </w:tc>
      </w:tr>
      <w:tr w:rsidR="00B8177D" w:rsidRPr="00C24D02" w14:paraId="06ADBEB6" w14:textId="77777777" w:rsidTr="003D1A59">
        <w:tc>
          <w:tcPr>
            <w:tcW w:w="2405" w:type="dxa"/>
          </w:tcPr>
          <w:p w14:paraId="3E3A37C0"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A799DF6"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1.3.</w:t>
            </w:r>
          </w:p>
        </w:tc>
      </w:tr>
      <w:tr w:rsidR="00B8177D" w:rsidRPr="00C24D02" w14:paraId="5B742094" w14:textId="77777777" w:rsidTr="003D1A59">
        <w:tc>
          <w:tcPr>
            <w:tcW w:w="2405" w:type="dxa"/>
          </w:tcPr>
          <w:p w14:paraId="527A0583"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E3251AD"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78DFDA54" w14:textId="77777777" w:rsidTr="003D1A59">
        <w:tc>
          <w:tcPr>
            <w:tcW w:w="2405" w:type="dxa"/>
          </w:tcPr>
          <w:p w14:paraId="1112B997"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22"/>
            </w:r>
            <w:r w:rsidRPr="00C24D02">
              <w:rPr>
                <w:rFonts w:asciiTheme="minorHAnsi" w:eastAsia="Calibri" w:hAnsiTheme="minorHAnsi" w:cstheme="minorHAnsi"/>
              </w:rPr>
              <w:t>)</w:t>
            </w:r>
          </w:p>
        </w:tc>
        <w:tc>
          <w:tcPr>
            <w:tcW w:w="6378" w:type="dxa"/>
          </w:tcPr>
          <w:p w14:paraId="166697F2"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w:t>
            </w:r>
          </w:p>
        </w:tc>
      </w:tr>
      <w:tr w:rsidR="00B8177D" w:rsidRPr="00C24D02" w14:paraId="04EFAD0D" w14:textId="77777777" w:rsidTr="003D1A59">
        <w:tc>
          <w:tcPr>
            <w:tcW w:w="2405" w:type="dxa"/>
          </w:tcPr>
          <w:p w14:paraId="3EC7CA4B"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1A869CE"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N.</w:t>
            </w:r>
          </w:p>
        </w:tc>
      </w:tr>
    </w:tbl>
    <w:p w14:paraId="79CE7B73" w14:textId="77777777" w:rsidR="00B8177D" w:rsidRPr="00C24D02" w:rsidRDefault="00B8177D" w:rsidP="00B8177D">
      <w:pPr>
        <w:spacing w:after="144" w:line="360" w:lineRule="auto"/>
        <w:rPr>
          <w:rFonts w:asciiTheme="minorHAnsi" w:hAnsiTheme="minorHAnsi" w:cstheme="minorHAnsi"/>
        </w:rPr>
      </w:pPr>
    </w:p>
    <w:p w14:paraId="0162DFAB"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Nedostatečný podíl VO</w:t>
      </w:r>
    </w:p>
    <w:p w14:paraId="492B6462"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0B6E576"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Dovolte mi vysvětlit a odůvodnit výše uvedený výsledek, který nebyl vyhodnocen z důvodu rozhodnutí panelisty, že VSB-TUO přispěla k výsledku více svou výpočetní infrastrukturou než nějakým významným vědeckým příspěvkem. </w:t>
      </w:r>
    </w:p>
    <w:p w14:paraId="238DA75A"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Článek byl přijat do časopisu Science Advances pouze proto, že experimentální zjištění byla podložena teorií a jejím vysvětlením. Z 11 autorů je pouze 5 teoretiků na dvou úrovních teorie. Skupina </w:t>
      </w:r>
      <w:r w:rsidRPr="00C24D02">
        <w:rPr>
          <w:rFonts w:asciiTheme="minorHAnsi" w:hAnsiTheme="minorHAnsi" w:cstheme="minorHAnsi"/>
          <w:b/>
          <w:bCs/>
        </w:rPr>
        <w:t>DL</w:t>
      </w:r>
      <w:r w:rsidRPr="00C24D02">
        <w:rPr>
          <w:rFonts w:asciiTheme="minorHAnsi" w:hAnsiTheme="minorHAnsi" w:cstheme="minorHAnsi"/>
        </w:rPr>
        <w:t xml:space="preserve">-KC-PMO se zabývala výpočty založenými na DFT; na druhé straně, rovnice spinové dynamiky (LLG) byly řešeny na Univerzitě v Kostnici prof. U. Nowakem a jeho doktorandem A. Dongesem (UN+AD). </w:t>
      </w:r>
    </w:p>
    <w:p w14:paraId="0C59E61D"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Jelikož experimentální část je o něco rozsáhlejší než teoretická, jsou teoretici uvedeni až na konci seznamu autorů. Další věcí je, že UN+AD se pokouší vysvětlit jev pouze na základě známých meziatomových výměnných interakcí (Jij) a literatury, avšak bez úspěchu. Pro zohlednění časové závislosti je nutné vytvořit dvou-teplotní model, který vyžaduje výměnné interkace jak mezi atomy, tak v rámci atomové slupky v důsledku polarizací magnetických f-stavů na valenční d-stavy (Jij inter a intra). </w:t>
      </w:r>
    </w:p>
    <w:p w14:paraId="6FDDA5C6"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b/>
          <w:bCs/>
        </w:rPr>
        <w:lastRenderedPageBreak/>
        <w:t xml:space="preserve">DL </w:t>
      </w:r>
      <w:r w:rsidRPr="00C24D02">
        <w:rPr>
          <w:rFonts w:asciiTheme="minorHAnsi" w:hAnsiTheme="minorHAnsi" w:cstheme="minorHAnsi"/>
        </w:rPr>
        <w:t xml:space="preserve">z IT4Innovations (VŠB-TUO) zrealizoval různé modely pro elektronové korelace (např. různé popisy Hubbardova modelu) a vypočítal elektronovou strukturu Gd a Tb s ohledem na magnetické vlastnosti (spinové a orbitální momenty) a magnetokrystalickou anizotropii (MAE), stejně jako jednoduchý model pro vyhodnocení fluktuací magnetických momentů pro modelování teplotního chování. </w:t>
      </w:r>
    </w:p>
    <w:p w14:paraId="252D8276"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KC z Karlovy univerzity na základě DL výpočtů stanovil model Jij pomocí tzv. magnetic force teorému v rámci přístupu metody LMTO, a porovnal výsledky s metodou spinového překlopení </w:t>
      </w:r>
      <w:r w:rsidRPr="00C24D02">
        <w:rPr>
          <w:rFonts w:asciiTheme="minorHAnsi" w:hAnsiTheme="minorHAnsi" w:cstheme="minorHAnsi"/>
          <w:b/>
          <w:bCs/>
        </w:rPr>
        <w:t>DL</w:t>
      </w:r>
      <w:r w:rsidRPr="00C24D02">
        <w:rPr>
          <w:rFonts w:asciiTheme="minorHAnsi" w:hAnsiTheme="minorHAnsi" w:cstheme="minorHAnsi"/>
        </w:rPr>
        <w:t xml:space="preserve">. </w:t>
      </w:r>
    </w:p>
    <w:p w14:paraId="5DF2A123"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PMO z Univerzity v Uppsale vyvinul možný model pro interakci spin-mřížka a její potenciální časově závislé chování (intenzita laseru pro teplotní a časové obsazení pásu v jednotlivých materiálech, atd.).</w:t>
      </w:r>
    </w:p>
    <w:p w14:paraId="401CA55D"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 obr. 3 v článku představují plné čáry vypočítané výsledky (UN-AD), jak je uvedeno v popisku, vycházející z vypočítaných meziatomových a vnitroatomových hodnot výměnných interakcí (Jij inter a intra) (vypočítaných </w:t>
      </w:r>
      <w:r w:rsidRPr="00C24D02">
        <w:rPr>
          <w:rFonts w:asciiTheme="minorHAnsi" w:hAnsiTheme="minorHAnsi" w:cstheme="minorHAnsi"/>
          <w:b/>
          <w:bCs/>
        </w:rPr>
        <w:t xml:space="preserve">DL </w:t>
      </w:r>
      <w:r w:rsidRPr="00C24D02">
        <w:rPr>
          <w:rFonts w:asciiTheme="minorHAnsi" w:hAnsiTheme="minorHAnsi" w:cstheme="minorHAnsi"/>
        </w:rPr>
        <w:t xml:space="preserve">a KC). </w:t>
      </w:r>
    </w:p>
    <w:p w14:paraId="2600BEF9"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Avšak toto bylo možné provést až poté, co </w:t>
      </w:r>
      <w:r w:rsidRPr="00C24D02">
        <w:rPr>
          <w:rFonts w:asciiTheme="minorHAnsi" w:hAnsiTheme="minorHAnsi" w:cstheme="minorHAnsi"/>
          <w:b/>
          <w:bCs/>
        </w:rPr>
        <w:t xml:space="preserve">DL </w:t>
      </w:r>
      <w:r w:rsidRPr="00C24D02">
        <w:rPr>
          <w:rFonts w:asciiTheme="minorHAnsi" w:hAnsiTheme="minorHAnsi" w:cstheme="minorHAnsi"/>
        </w:rPr>
        <w:t xml:space="preserve">našel model pro řešení MAE, který odpovídá experimentálnímu MAE pro Gd a Tb, a určil všechny parametry. </w:t>
      </w:r>
      <w:r w:rsidRPr="00C24D02">
        <w:rPr>
          <w:rFonts w:asciiTheme="minorHAnsi" w:hAnsiTheme="minorHAnsi" w:cstheme="minorHAnsi"/>
          <w:b/>
          <w:bCs/>
        </w:rPr>
        <w:t xml:space="preserve">DL </w:t>
      </w:r>
      <w:r w:rsidRPr="00C24D02">
        <w:rPr>
          <w:rFonts w:asciiTheme="minorHAnsi" w:hAnsiTheme="minorHAnsi" w:cstheme="minorHAnsi"/>
        </w:rPr>
        <w:t>i KC měli několik let přístup k HPC zdrojům IT4Innovations. Základem obr. 3 jsou tedy vypočítané výměnné interakce Jij (</w:t>
      </w:r>
      <w:r w:rsidRPr="00C24D02">
        <w:rPr>
          <w:rFonts w:asciiTheme="minorHAnsi" w:hAnsiTheme="minorHAnsi" w:cstheme="minorHAnsi"/>
          <w:b/>
          <w:bCs/>
        </w:rPr>
        <w:t>DL</w:t>
      </w:r>
      <w:r w:rsidRPr="00C24D02">
        <w:rPr>
          <w:rFonts w:asciiTheme="minorHAnsi" w:hAnsiTheme="minorHAnsi" w:cstheme="minorHAnsi"/>
        </w:rPr>
        <w:t>+KC) a jejich vyhodnocení na základě změn v pásové struktuře pro „časovou závislost“.</w:t>
      </w:r>
    </w:p>
    <w:p w14:paraId="05AB164D"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Pouze s těmito hodnotami Jij mohl UN-AD analyzovat experimentální výsledky pomocí Landau-Liftshitz-Gilbert (LLG) rovnic a mohl být dokončen obrázek 3 článku! K výpočtům spinové dynamiky a LLG jsou nutné hodnoty Jij, které byly určeny z prvoprincipielních (ab initio) výpočtů (</w:t>
      </w:r>
      <w:r w:rsidRPr="00C24D02">
        <w:rPr>
          <w:rFonts w:asciiTheme="minorHAnsi" w:hAnsiTheme="minorHAnsi" w:cstheme="minorHAnsi"/>
          <w:b/>
          <w:bCs/>
        </w:rPr>
        <w:t>DL</w:t>
      </w:r>
      <w:r w:rsidRPr="00C24D02">
        <w:rPr>
          <w:rFonts w:asciiTheme="minorHAnsi" w:hAnsiTheme="minorHAnsi" w:cstheme="minorHAnsi"/>
        </w:rPr>
        <w:t xml:space="preserve">+KC). </w:t>
      </w:r>
    </w:p>
    <w:p w14:paraId="0F833229"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Z výše uvedeného vysvětlení je zřejmé, že </w:t>
      </w:r>
      <w:r w:rsidRPr="00C24D02">
        <w:rPr>
          <w:rFonts w:asciiTheme="minorHAnsi" w:hAnsiTheme="minorHAnsi" w:cstheme="minorHAnsi"/>
          <w:b/>
          <w:bCs/>
        </w:rPr>
        <w:t xml:space="preserve">DL </w:t>
      </w:r>
      <w:r w:rsidRPr="00C24D02">
        <w:rPr>
          <w:rFonts w:asciiTheme="minorHAnsi" w:hAnsiTheme="minorHAnsi" w:cstheme="minorHAnsi"/>
        </w:rPr>
        <w:t xml:space="preserve">významně přispěl k dosaženým výsledkům, a to nejen použitím infrastruktury IT4Innovations. </w:t>
      </w:r>
    </w:p>
    <w:p w14:paraId="37280C7D"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Oproti původnímu zdůvodněni výsledku VO v námitce novými údaji dokládá, že významná část tvůrčí práce vznikla na </w:t>
      </w:r>
      <w:r w:rsidRPr="00C24D02">
        <w:rPr>
          <w:rFonts w:asciiTheme="minorHAnsi" w:eastAsia="Calibri" w:hAnsiTheme="minorHAnsi" w:cstheme="minorHAnsi"/>
        </w:rPr>
        <w:t>VŠB-TUO</w:t>
      </w:r>
      <w:r w:rsidRPr="00C24D02">
        <w:rPr>
          <w:rFonts w:asciiTheme="minorHAnsi" w:hAnsiTheme="minorHAnsi" w:cstheme="minorHAnsi"/>
        </w:rPr>
        <w:t>. Vypořádání námitek a změna hodnocení však nemohou být založeny na uvádění nových skutečností, které VO opomenula uvést v původním zdůvodnění. Panel neshledal žádné procesní pochybení a trvá na původním hodnocení, které na základě předložených podkladů rigorózně provedl.</w:t>
      </w:r>
    </w:p>
    <w:p w14:paraId="1673D6BA"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lastRenderedPageBreak/>
        <w:t xml:space="preserve">Vyjádření Odborného panelu: </w:t>
      </w:r>
      <w:r w:rsidRPr="00C24D02">
        <w:rPr>
          <w:rFonts w:asciiTheme="minorHAnsi" w:hAnsiTheme="minorHAnsi" w:cstheme="minorHAnsi"/>
        </w:rPr>
        <w:t>Panel navrhuje námitce nevyhovět a ponechat původní hodnocení stupněm N.</w:t>
      </w:r>
    </w:p>
    <w:p w14:paraId="750163B3"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Při hodnocení je nutno postupovat dle oddílu 4.2 Zajištění podkladů pro hodnocení vybraného výsledku, písmen d) a e) Postupu</w:t>
      </w:r>
      <w:r w:rsidRPr="00C24D02">
        <w:rPr>
          <w:rStyle w:val="Znakapoznpodarou"/>
          <w:rFonts w:asciiTheme="minorHAnsi" w:eastAsiaTheme="majorEastAsia" w:hAnsiTheme="minorHAnsi" w:cstheme="minorHAnsi"/>
        </w:rPr>
        <w:footnoteReference w:id="23"/>
      </w:r>
      <w:r w:rsidRPr="00C24D02">
        <w:rPr>
          <w:rFonts w:asciiTheme="minorHAnsi" w:hAnsiTheme="minorHAnsi" w:cstheme="minorHAnsi"/>
        </w:rPr>
        <w:t xml:space="preserve">, ve kterém je uvedeno: </w:t>
      </w:r>
    </w:p>
    <w:p w14:paraId="515ACAD4" w14:textId="77777777" w:rsidR="00B8177D" w:rsidRPr="00C24D02" w:rsidRDefault="00B8177D" w:rsidP="00B8177D">
      <w:pPr>
        <w:spacing w:before="240" w:after="144" w:line="360" w:lineRule="auto"/>
        <w:jc w:val="both"/>
        <w:rPr>
          <w:rFonts w:asciiTheme="minorHAnsi" w:hAnsiTheme="minorHAnsi" w:cstheme="minorHAnsi"/>
          <w:i/>
          <w:iCs/>
        </w:rPr>
      </w:pPr>
      <w:r w:rsidRPr="00C24D02">
        <w:rPr>
          <w:rFonts w:asciiTheme="minorHAnsi" w:hAnsiTheme="minorHAnsi" w:cstheme="minorHAnsi"/>
          <w:i/>
          <w:iCs/>
        </w:rPr>
        <w:t xml:space="preserve">d. Hodnotitel se ve svém posudku vyjadřuje pouze ke kvalitě výsledků a nebere ohled na podíl autorů výzkumné organizace. </w:t>
      </w:r>
    </w:p>
    <w:p w14:paraId="23240A26" w14:textId="77777777" w:rsidR="00B8177D" w:rsidRPr="00C24D02" w:rsidRDefault="00B8177D" w:rsidP="00B8177D">
      <w:pPr>
        <w:spacing w:before="240" w:after="144" w:line="360" w:lineRule="auto"/>
        <w:jc w:val="both"/>
        <w:rPr>
          <w:rFonts w:asciiTheme="minorHAnsi" w:hAnsiTheme="minorHAnsi" w:cstheme="minorHAnsi"/>
          <w:i/>
          <w:iCs/>
        </w:rPr>
      </w:pPr>
      <w:r w:rsidRPr="00C24D02">
        <w:rPr>
          <w:rFonts w:asciiTheme="minorHAnsi" w:hAnsiTheme="minorHAnsi" w:cstheme="minorHAnsi"/>
          <w:i/>
          <w:iCs/>
        </w:rPr>
        <w:t>e. Panelisté při výsledné kontrole podílu organizace na vzniku výsledku mohou po schválení předsedou Odborného panelu výsledek zamítnout, pokud mají indicie, že podíl přihlašující instituce byl marginální (technicky zaškrtnutím pole (N) v aplikaci SKV). V případě, že takové indicie nemají, posuzují i oni výsledek z hlediska kvality jako celek.</w:t>
      </w:r>
    </w:p>
    <w:p w14:paraId="563B3244" w14:textId="42F97EBE" w:rsidR="00B8177D" w:rsidRPr="00C24D02" w:rsidRDefault="00B8177D"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vyjádřením panelu a navrhuje ponechat původní hodnocení, které bylo uděleno podle platných pravidel </w:t>
      </w:r>
    </w:p>
    <w:p w14:paraId="0034FC90" w14:textId="03354E99" w:rsidR="00B8177D" w:rsidRPr="00C24D02" w:rsidRDefault="00B8177D">
      <w:pPr>
        <w:suppressAutoHyphens w:val="0"/>
        <w:spacing w:after="160" w:line="259" w:lineRule="auto"/>
        <w:rPr>
          <w:rFonts w:asciiTheme="minorHAnsi" w:hAnsiTheme="minorHAnsi" w:cstheme="minorHAnsi"/>
          <w:sz w:val="22"/>
          <w:szCs w:val="22"/>
        </w:rPr>
      </w:pPr>
      <w:r w:rsidRPr="00C24D02">
        <w:rPr>
          <w:rFonts w:asciiTheme="minorHAnsi" w:hAnsiTheme="minorHAnsi" w:cstheme="minorHAnsi"/>
          <w:sz w:val="22"/>
          <w:szCs w:val="22"/>
        </w:rPr>
        <w:br w:type="page"/>
      </w:r>
    </w:p>
    <w:p w14:paraId="3E57CD66" w14:textId="46AD5497" w:rsidR="00B8177D" w:rsidRPr="00C24D02" w:rsidRDefault="00B8177D" w:rsidP="00B8177D">
      <w:pPr>
        <w:pStyle w:val="Nadpis1"/>
        <w:numPr>
          <w:ilvl w:val="0"/>
          <w:numId w:val="1"/>
        </w:numPr>
        <w:spacing w:after="144" w:line="360" w:lineRule="auto"/>
        <w:rPr>
          <w:rFonts w:asciiTheme="minorHAnsi" w:hAnsiTheme="minorHAnsi" w:cstheme="minorHAnsi"/>
          <w:sz w:val="22"/>
          <w:szCs w:val="22"/>
        </w:rPr>
      </w:pPr>
      <w:bookmarkStart w:id="18" w:name="_Toc221799816"/>
      <w:r w:rsidRPr="00C24D02">
        <w:rPr>
          <w:rFonts w:asciiTheme="minorHAnsi" w:hAnsiTheme="minorHAnsi" w:cstheme="minorHAnsi"/>
          <w:sz w:val="22"/>
          <w:szCs w:val="22"/>
        </w:rPr>
        <w:lastRenderedPageBreak/>
        <w:t>Vliv jazyka resp. domácího kontextu na výslednou známku, využití výsledku.</w:t>
      </w:r>
      <w:bookmarkEnd w:id="18"/>
    </w:p>
    <w:p w14:paraId="4E62FDBF" w14:textId="77777777" w:rsidR="00704870" w:rsidRPr="00C24D02" w:rsidRDefault="00704870" w:rsidP="00704870">
      <w:pPr>
        <w:rPr>
          <w:rFonts w:asciiTheme="minorHAnsi" w:hAnsiTheme="minorHAnsi" w:cstheme="minorHAnsi"/>
        </w:rPr>
      </w:pP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21FFAC4B" w14:textId="77777777" w:rsidTr="003D1A59">
        <w:tc>
          <w:tcPr>
            <w:tcW w:w="2405" w:type="dxa"/>
          </w:tcPr>
          <w:p w14:paraId="496F8BB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74F8DCC"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Masarykova univerzita</w:t>
            </w:r>
          </w:p>
        </w:tc>
      </w:tr>
      <w:tr w:rsidR="00B8177D" w:rsidRPr="00C24D02" w14:paraId="54890037" w14:textId="77777777" w:rsidTr="003D1A59">
        <w:tc>
          <w:tcPr>
            <w:tcW w:w="2405" w:type="dxa"/>
          </w:tcPr>
          <w:p w14:paraId="68818346"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4B95FFF4"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192570435</w:t>
            </w:r>
          </w:p>
        </w:tc>
      </w:tr>
      <w:tr w:rsidR="00B8177D" w:rsidRPr="00C24D02" w14:paraId="2800231D" w14:textId="77777777" w:rsidTr="003D1A59">
        <w:trPr>
          <w:trHeight w:val="741"/>
        </w:trPr>
        <w:tc>
          <w:tcPr>
            <w:tcW w:w="2405" w:type="dxa"/>
          </w:tcPr>
          <w:p w14:paraId="26DA303F"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B79BACE"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Bouřlivý příběh : Postavení katolíků v Čínské lidové republice</w:t>
            </w:r>
          </w:p>
        </w:tc>
      </w:tr>
      <w:tr w:rsidR="00B8177D" w:rsidRPr="00C24D02" w14:paraId="33B76DEB" w14:textId="77777777" w:rsidTr="003D1A59">
        <w:tc>
          <w:tcPr>
            <w:tcW w:w="2405" w:type="dxa"/>
          </w:tcPr>
          <w:p w14:paraId="284FE4CE"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C098170"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6.3.</w:t>
            </w:r>
          </w:p>
        </w:tc>
      </w:tr>
      <w:tr w:rsidR="00B8177D" w:rsidRPr="00C24D02" w14:paraId="1D9B9197" w14:textId="77777777" w:rsidTr="003D1A59">
        <w:tc>
          <w:tcPr>
            <w:tcW w:w="2405" w:type="dxa"/>
          </w:tcPr>
          <w:p w14:paraId="1F00AE1C"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8242490"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17B93206" w14:textId="77777777" w:rsidTr="003D1A59">
        <w:tc>
          <w:tcPr>
            <w:tcW w:w="2405" w:type="dxa"/>
          </w:tcPr>
          <w:p w14:paraId="742D094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24"/>
            </w:r>
            <w:r w:rsidRPr="00C24D02">
              <w:rPr>
                <w:rFonts w:asciiTheme="minorHAnsi" w:eastAsia="Calibri" w:hAnsiTheme="minorHAnsi" w:cstheme="minorHAnsi"/>
              </w:rPr>
              <w:t>)</w:t>
            </w:r>
          </w:p>
        </w:tc>
        <w:tc>
          <w:tcPr>
            <w:tcW w:w="6378" w:type="dxa"/>
          </w:tcPr>
          <w:p w14:paraId="7EC99DD7"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3/4/-/4</w:t>
            </w:r>
          </w:p>
        </w:tc>
      </w:tr>
      <w:tr w:rsidR="00B8177D" w:rsidRPr="00C24D02" w14:paraId="5D64BAAB" w14:textId="77777777" w:rsidTr="003D1A59">
        <w:tc>
          <w:tcPr>
            <w:tcW w:w="2405" w:type="dxa"/>
          </w:tcPr>
          <w:p w14:paraId="36C0DFD4"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2057A514"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7C5A1A1E" w14:textId="77777777" w:rsidR="00B8177D" w:rsidRPr="00C24D02" w:rsidRDefault="00B8177D" w:rsidP="00B8177D">
      <w:pPr>
        <w:spacing w:after="144" w:line="360" w:lineRule="auto"/>
        <w:rPr>
          <w:rFonts w:asciiTheme="minorHAnsi" w:hAnsiTheme="minorHAnsi" w:cstheme="minorHAnsi"/>
        </w:rPr>
      </w:pPr>
    </w:p>
    <w:p w14:paraId="27A8F599"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Výsledek předložen v českém jazyce</w:t>
      </w:r>
    </w:p>
    <w:p w14:paraId="17E2BC6F"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7063BD99"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 následujících příkladech chceme ukázat, že práce hodnotitelů/panelistů je v mnoha případech odbývána. Máme samozřejmě pochopení k velkému pracovnímu vytížení, ale pokud nebude tato práce zodpovědně prováděna, Modul 1 selhává a ztrácí respekt. Víme, že pro edukaci hodnotitelů bylo uděláno mnohé a Modul 1 se zásadním způsobem postupně zlepšil, ale věříme, že i přesto musí být práce hodnotitelů monitorována a v případě systematického selhávání nastaveny nějaké mechanismy nápravy. </w:t>
      </w:r>
    </w:p>
    <w:p w14:paraId="3D6D772A"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Zahraniční hodnotitel dostal knihu k posouzení v českém jazyce. Nevíme, do jaké míry je schopen porozumět textu a pochopit jej, nicméně dikce a volba slov hodnocení naznačuje, že je to rozhodně limitující. Současně také své hodnocení </w:t>
      </w:r>
      <w:r w:rsidRPr="00C24D02">
        <w:rPr>
          <w:rFonts w:asciiTheme="minorHAnsi" w:hAnsiTheme="minorHAnsi" w:cstheme="minorHAnsi"/>
          <w:b/>
          <w:bCs/>
        </w:rPr>
        <w:t>založil na předpokladu, že pokud je knížka v češtině, automaticky ji to limituje na známku 4 a 5</w:t>
      </w:r>
      <w:r w:rsidRPr="00C24D02">
        <w:rPr>
          <w:rFonts w:asciiTheme="minorHAnsi" w:hAnsiTheme="minorHAnsi" w:cstheme="minorHAnsi"/>
        </w:rPr>
        <w:t xml:space="preserve">, přestože pravidla říkají něco jiného. Horší pak je ještě fakt, že panelista toto hodnocení akceptoval a dokonce přejímá tento nesprávný způsob uvažování. </w:t>
      </w:r>
      <w:r w:rsidRPr="00C24D02">
        <w:rPr>
          <w:rFonts w:asciiTheme="minorHAnsi" w:hAnsiTheme="minorHAnsi" w:cstheme="minorHAnsi"/>
          <w:b/>
          <w:bCs/>
        </w:rPr>
        <w:t xml:space="preserve">Stanovisko panelisty není založeno na odůvodněných </w:t>
      </w:r>
      <w:r w:rsidRPr="00C24D02">
        <w:rPr>
          <w:rFonts w:asciiTheme="minorHAnsi" w:hAnsiTheme="minorHAnsi" w:cstheme="minorHAnsi"/>
          <w:b/>
          <w:bCs/>
        </w:rPr>
        <w:lastRenderedPageBreak/>
        <w:t>kvalitativních argumentech</w:t>
      </w:r>
      <w:r w:rsidRPr="00C24D02">
        <w:rPr>
          <w:rFonts w:asciiTheme="minorHAnsi" w:hAnsiTheme="minorHAnsi" w:cstheme="minorHAnsi"/>
        </w:rPr>
        <w:t xml:space="preserve"> a staví na vydavateli: </w:t>
      </w:r>
      <w:r w:rsidRPr="00C24D02">
        <w:rPr>
          <w:rFonts w:asciiTheme="minorHAnsi" w:hAnsiTheme="minorHAnsi" w:cstheme="minorHAnsi"/>
          <w:i/>
          <w:iCs/>
        </w:rPr>
        <w:t xml:space="preserve">Jedná se kvalitní výstup věnovaný postavení katolíků v ČLR. Je vydaný v českém nakladatelství a jeho dopad je tedy z povahy věci spíše omezený. Současně je, jak konstatují oba posudky, spíše deskriptivní povahy. Jako takový jej navrhuji klasifikovat jako průměrný. </w:t>
      </w:r>
    </w:p>
    <w:p w14:paraId="2B816558"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Panel se rozhodl ohodnotit výsledek známkou 4, a to v souladu s posudky hodnotitelů, kteří poukazují na národní povahu výstupu stejně jako na jeho popisný charakter bez vyššího stupně původního přínosu k poznání, což je podmínka sledovaná v rámci stejnojmenné kategorie.</w:t>
      </w:r>
    </w:p>
    <w:p w14:paraId="1E19A7B4"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Námitka spočívá jednak ve zpochybnění kvalifikace jednoho z hodnotitelů, který prý možná není s to porozumět předloženému textu (což se stěžovatel pokouší doložit zvýrazněním některých slov v posudku), stejně jako v tvrzení, že předložení textu v češtině jej nelimituje na známku 4 a 5. Současně je posuzování konkrétního výsledku uváděno jako příklad špatné práce panelu, v němž panelista pouze přejímá „nesprávný způsob uvažování“ a neuvádí žádnou argumentaci založenou na kvalitativních argumentech, ale čistě na vydavateli.</w:t>
      </w:r>
    </w:p>
    <w:p w14:paraId="594369D9"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Ve vztahu k těmto námitkám panel beze změny trvá na svém předchozím závěru, včetně zdůvodnění. Důvody jsou tyto:</w:t>
      </w:r>
    </w:p>
    <w:p w14:paraId="0A409249"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 xml:space="preserve">Zaprvé, zpochybnění hodnotitelovy schopnosti porozumět textu knihy je zcela spekulativní, a nijak neplyne z vyznačených míst, která navíc nejsou ani „argumentativně“ zdůvodněna, tj. jsou vyznačena bez dalšího rozvedení, jak by z nich měla hodnotitelova nekvalifikovanost plynout. Příslušný závěr neplyne ani z textu hodnocení samotného, který je velmi detailní a soustředí se i na další aspekty hodnoceného výstupu. </w:t>
      </w:r>
    </w:p>
    <w:p w14:paraId="6A38B5EF"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 xml:space="preserve">Za druhé, je spekulací, že panel hodnocení čistě přejímá, či zakládá na průměru, což neodpovídá skutečnosti, která je kromě dvou vyhotovených posudků dána i celkem hodnocení (tedy i vztahem k dalším výsledkům) a standardům běžným v dané oblasti, které hodnocení sleduje. Tyto standardy se týkají mj. publikování výsledků v kvalitních a mezinárodně renomovaných časopisech a vydavatelstvích, a to ve vztahu k dopadu, resp. impaktu, na němž je explicitně založena klasifikační škála v kategorii přínos k poznání. Platí, že v oblastech filosofie, religionistika, teologie je příslušný impakt typicky vázán na jazyky anglický, německý a francouzský, u nichž lze očekávat, že je ovládají kvalifikovaní badatelé a lze tedy čekat nejvyšší míru šíření. </w:t>
      </w:r>
    </w:p>
    <w:p w14:paraId="1CA8939A"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lastRenderedPageBreak/>
        <w:t>Za třetí, z toho plyne, že neplatí tvrzení, že se panelistovo zdůvodnění nezakládá na kvalitativních kritériích, neboť volba jazyka a vydavatele tato kritéria obsahuje. Patří k nim totiž i náročnost recenzního řízení nebo citační a recenzní ohlasy (a na ně navázané kvantitativní ukazatele, tj. indexování časopisů, jejich třídění do kvartilů, ohodnocení impakt faktory apod). Nic z toho nelze ignorovat, má-li být celé hodnocení transparentní a vnitřně koherentní. Jinak by šlo, podle stejné logiky, do hodnocení přihlašovat i nepublikované manuskripty, např. ty umístěné na academia.edu, pokud podavatel usoudí, že mají znamenitý obsah.</w:t>
      </w:r>
    </w:p>
    <w:p w14:paraId="0A334581"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 xml:space="preserve">Za čtvrté, z toho neplyne, že by vysoce nešlo hodnotit i publikaci vydanou česky, ale musí k tomu být – ve vztahu k užité škále – dobrý důvod navázaný na příslušné kritérium dopadu, např. zaměření textu na specificky jazykový problém češtiny z filosofického hlediska, nebo na téma, v němž lze očekávat, že zainteresovaní badatelé ovládají češtinu, např. v kritické edici významného autora publikujícího (rovněž) česky. </w:t>
      </w:r>
    </w:p>
    <w:p w14:paraId="6BFE0F12"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Za páté, v případě uvedeného výstupu, stejně jako výstupů podobných v rámci celého hodnocení, bylo usouzeno, že takový silný důvod uvést nelze, naopak, s ohledem na přehledovost a deskriptivitu textu, kterou explicitně zmiňuje druhý z posudků, bylo konstatováno, že kniha nenaplňuje ani další sledované kritérium škály, tedy. Viz práce je “většinou deskripcí (i když velice poučenou), která má pouze z malé části ambici přispět do literatury nějakou hlubší analýzou”. V tomto smyslu může podavatel výstupu uvažovat spíše o jeho registraci v kategorii Společenská relevance.</w:t>
      </w:r>
    </w:p>
    <w:p w14:paraId="0C952200"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 xml:space="preserve">Za šesté, je obecně problematické označovat panelisty v případech, kdy se jejich hodnocení shoduje s hodnocením hodnotitele, za někoho, kdo si ulehčuje práci, protože v případech, kdyby se jejich hodnocení naopak od posudků hodnotitelů lišilo (a navíc v neprospěch podavatele), byli by podezřelí ze svévole, tedy z toho, že rozhodují nezávisle na názorech odborníků. Platí, že kritérií, která je třeba vzít v úvahu, je vždy vícero a panel tak činí s velkou pečlivostí a důrazem na co možná nejvyšší objektivitu a koherenci, do míry, v níž to zvolený kolektivní způsob rozhodování a hodnocení dovoluje. </w:t>
      </w:r>
    </w:p>
    <w:p w14:paraId="5046023C"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Vyjádření Odborného panelu:</w:t>
      </w:r>
      <w:r w:rsidRPr="00C24D02">
        <w:rPr>
          <w:rFonts w:asciiTheme="minorHAnsi" w:hAnsiTheme="minorHAnsi" w:cstheme="minorHAnsi"/>
          <w:b/>
        </w:rPr>
        <w:t xml:space="preserve"> </w:t>
      </w:r>
      <w:r w:rsidRPr="00C24D02">
        <w:rPr>
          <w:rFonts w:asciiTheme="minorHAnsi" w:hAnsiTheme="minorHAnsi" w:cstheme="minorHAnsi"/>
        </w:rPr>
        <w:t>Panel navrhuje námitce nevyhovět a ponechat původní hodnocení stupněm 4.</w:t>
      </w:r>
    </w:p>
    <w:p w14:paraId="28D0A665" w14:textId="77777777" w:rsidR="00B8177D" w:rsidRPr="00C24D02" w:rsidRDefault="00B8177D" w:rsidP="00B8177D">
      <w:pPr>
        <w:spacing w:before="240" w:after="144" w:line="360" w:lineRule="auto"/>
        <w:jc w:val="both"/>
        <w:rPr>
          <w:rFonts w:asciiTheme="minorHAnsi" w:hAnsiTheme="minorHAnsi" w:cstheme="minorHAnsi"/>
          <w:b/>
          <w:bCs/>
          <w:u w:val="single"/>
        </w:rPr>
      </w:pPr>
      <w:r w:rsidRPr="00C24D02">
        <w:rPr>
          <w:rFonts w:asciiTheme="minorHAnsi" w:hAnsiTheme="minorHAnsi" w:cstheme="minorHAnsi"/>
          <w:b/>
          <w:bCs/>
          <w:u w:val="single"/>
        </w:rPr>
        <w:t xml:space="preserve">Vyjádření Sekce pro vědu, výzkum a inovace: </w:t>
      </w:r>
      <w:r w:rsidRPr="00C24D02">
        <w:rPr>
          <w:rFonts w:asciiTheme="minorHAnsi" w:hAnsiTheme="minorHAnsi" w:cstheme="minorHAnsi"/>
        </w:rPr>
        <w:t>bez vyjádření.</w:t>
      </w:r>
    </w:p>
    <w:p w14:paraId="06E9D092" w14:textId="78801BA2" w:rsidR="00B8177D" w:rsidRPr="003C778F" w:rsidRDefault="00B8177D"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lastRenderedPageBreak/>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07D6E1FF" w14:textId="77777777" w:rsidTr="003D1A59">
        <w:tc>
          <w:tcPr>
            <w:tcW w:w="2405" w:type="dxa"/>
          </w:tcPr>
          <w:p w14:paraId="52F333F3"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71CD2FC"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UPOL - Filozofická fakulta</w:t>
            </w:r>
          </w:p>
        </w:tc>
      </w:tr>
      <w:tr w:rsidR="00B8177D" w:rsidRPr="00C24D02" w14:paraId="4F4789EF" w14:textId="77777777" w:rsidTr="003D1A59">
        <w:tc>
          <w:tcPr>
            <w:tcW w:w="2405" w:type="dxa"/>
          </w:tcPr>
          <w:p w14:paraId="59A89BF2"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3473887A"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192555417</w:t>
            </w:r>
          </w:p>
        </w:tc>
      </w:tr>
      <w:tr w:rsidR="00B8177D" w:rsidRPr="00C24D02" w14:paraId="086905CC" w14:textId="77777777" w:rsidTr="003D1A59">
        <w:trPr>
          <w:trHeight w:val="741"/>
        </w:trPr>
        <w:tc>
          <w:tcPr>
            <w:tcW w:w="2405" w:type="dxa"/>
          </w:tcPr>
          <w:p w14:paraId="068378F5"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CC40E64"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Autrici per la scuola: modelli d’italiano, pattern didattici e livelli di leggibilità in libri di lettura per la scuola elementare (1882-1913)</w:t>
            </w:r>
          </w:p>
        </w:tc>
      </w:tr>
      <w:tr w:rsidR="00B8177D" w:rsidRPr="00C24D02" w14:paraId="7A65FFAC" w14:textId="77777777" w:rsidTr="003D1A59">
        <w:tc>
          <w:tcPr>
            <w:tcW w:w="2405" w:type="dxa"/>
          </w:tcPr>
          <w:p w14:paraId="40101324"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43BB101D"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6.2</w:t>
            </w:r>
          </w:p>
        </w:tc>
      </w:tr>
      <w:tr w:rsidR="00B8177D" w:rsidRPr="00C24D02" w14:paraId="6A70BFEA" w14:textId="77777777" w:rsidTr="003D1A59">
        <w:tc>
          <w:tcPr>
            <w:tcW w:w="2405" w:type="dxa"/>
          </w:tcPr>
          <w:p w14:paraId="360E7334"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63666655"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7BEDECCC" w14:textId="77777777" w:rsidTr="003D1A59">
        <w:tc>
          <w:tcPr>
            <w:tcW w:w="2405" w:type="dxa"/>
          </w:tcPr>
          <w:p w14:paraId="027F6993"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25"/>
            </w:r>
            <w:r w:rsidRPr="00C24D02">
              <w:rPr>
                <w:rFonts w:asciiTheme="minorHAnsi" w:eastAsia="Calibri" w:hAnsiTheme="minorHAnsi" w:cstheme="minorHAnsi"/>
              </w:rPr>
              <w:t>)</w:t>
            </w:r>
          </w:p>
        </w:tc>
        <w:tc>
          <w:tcPr>
            <w:tcW w:w="6378" w:type="dxa"/>
          </w:tcPr>
          <w:p w14:paraId="6D01DFA7"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3/2/-/3</w:t>
            </w:r>
          </w:p>
        </w:tc>
      </w:tr>
      <w:tr w:rsidR="00B8177D" w:rsidRPr="00C24D02" w14:paraId="0F20F2AA" w14:textId="77777777" w:rsidTr="003D1A59">
        <w:tc>
          <w:tcPr>
            <w:tcW w:w="2405" w:type="dxa"/>
          </w:tcPr>
          <w:p w14:paraId="71A24ADD"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A1EEAC1" w14:textId="77777777" w:rsidR="00B8177D" w:rsidRPr="00C24D02" w:rsidRDefault="00B8177D"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2.</w:t>
            </w:r>
          </w:p>
        </w:tc>
      </w:tr>
    </w:tbl>
    <w:p w14:paraId="7E0A23AB" w14:textId="77777777" w:rsidR="00B8177D" w:rsidRPr="00C24D02" w:rsidRDefault="00B8177D" w:rsidP="00B8177D">
      <w:pPr>
        <w:spacing w:after="144" w:line="360" w:lineRule="auto"/>
        <w:rPr>
          <w:rFonts w:asciiTheme="minorHAnsi" w:hAnsiTheme="minorHAnsi" w:cstheme="minorHAnsi"/>
        </w:rPr>
      </w:pPr>
    </w:p>
    <w:p w14:paraId="66075500"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Vliv jazyka na úroveň výsledku</w:t>
      </w:r>
    </w:p>
    <w:p w14:paraId="4254C0D5"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876916E"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Hodnotitelé vytýkají absenci „obecnější syntézy“ a omezený dosah kvůli italštině a italské tematice. Navrhujeme přehodnocení na </w:t>
      </w:r>
      <w:r w:rsidRPr="00C24D02">
        <w:rPr>
          <w:rFonts w:asciiTheme="minorHAnsi" w:hAnsiTheme="minorHAnsi" w:cstheme="minorHAnsi"/>
          <w:b/>
          <w:bCs/>
        </w:rPr>
        <w:t xml:space="preserve">stupeň 2 (vynikající mezinárodní úroveň) </w:t>
      </w:r>
      <w:r w:rsidRPr="00C24D02">
        <w:rPr>
          <w:rFonts w:asciiTheme="minorHAnsi" w:hAnsiTheme="minorHAnsi" w:cstheme="minorHAnsi"/>
        </w:rPr>
        <w:t xml:space="preserve">s ohledem na </w:t>
      </w:r>
      <w:r w:rsidRPr="00C24D02">
        <w:rPr>
          <w:rFonts w:asciiTheme="minorHAnsi" w:hAnsiTheme="minorHAnsi" w:cstheme="minorHAnsi"/>
          <w:b/>
          <w:bCs/>
        </w:rPr>
        <w:t>originalitu, význam a přenositelnost zjištění</w:t>
      </w:r>
      <w:r w:rsidRPr="00C24D02">
        <w:rPr>
          <w:rFonts w:asciiTheme="minorHAnsi" w:hAnsiTheme="minorHAnsi" w:cstheme="minorHAnsi"/>
        </w:rPr>
        <w:t xml:space="preserve">. </w:t>
      </w:r>
    </w:p>
    <w:p w14:paraId="07B611F0"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Zdůvodnění </w:t>
      </w:r>
    </w:p>
    <w:p w14:paraId="6EDAEA05"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w:t>
      </w:r>
      <w:r w:rsidRPr="00C24D02">
        <w:rPr>
          <w:rFonts w:asciiTheme="minorHAnsi" w:hAnsiTheme="minorHAnsi" w:cstheme="minorHAnsi"/>
          <w:b/>
          <w:bCs/>
        </w:rPr>
        <w:t xml:space="preserve">Silná syntéza skrze případovou studii: </w:t>
      </w:r>
      <w:r w:rsidRPr="00C24D02">
        <w:rPr>
          <w:rFonts w:asciiTheme="minorHAnsi" w:hAnsiTheme="minorHAnsi" w:cstheme="minorHAnsi"/>
        </w:rPr>
        <w:t xml:space="preserve">Monografie </w:t>
      </w:r>
      <w:r w:rsidRPr="00C24D02">
        <w:rPr>
          <w:rFonts w:asciiTheme="minorHAnsi" w:hAnsiTheme="minorHAnsi" w:cstheme="minorHAnsi"/>
          <w:b/>
          <w:bCs/>
        </w:rPr>
        <w:t xml:space="preserve">detailně ukazuje, jak školní četba přispěla k jazykové unifikaci </w:t>
      </w:r>
      <w:r w:rsidRPr="00C24D02">
        <w:rPr>
          <w:rFonts w:asciiTheme="minorHAnsi" w:hAnsiTheme="minorHAnsi" w:cstheme="minorHAnsi"/>
        </w:rPr>
        <w:t xml:space="preserve">na dříve roztříštěném území a </w:t>
      </w:r>
      <w:r w:rsidRPr="00C24D02">
        <w:rPr>
          <w:rFonts w:asciiTheme="minorHAnsi" w:hAnsiTheme="minorHAnsi" w:cstheme="minorHAnsi"/>
          <w:b/>
          <w:bCs/>
        </w:rPr>
        <w:t>spoluutvářela moderní identitu</w:t>
      </w:r>
      <w:r w:rsidRPr="00C24D02">
        <w:rPr>
          <w:rFonts w:asciiTheme="minorHAnsi" w:hAnsiTheme="minorHAnsi" w:cstheme="minorHAnsi"/>
        </w:rPr>
        <w:t xml:space="preserve">. Tato </w:t>
      </w:r>
      <w:r w:rsidRPr="00C24D02">
        <w:rPr>
          <w:rFonts w:asciiTheme="minorHAnsi" w:hAnsiTheme="minorHAnsi" w:cstheme="minorHAnsi"/>
          <w:b/>
          <w:bCs/>
        </w:rPr>
        <w:t xml:space="preserve">teze je zobecnitelná </w:t>
      </w:r>
      <w:r w:rsidRPr="00C24D02">
        <w:rPr>
          <w:rFonts w:asciiTheme="minorHAnsi" w:hAnsiTheme="minorHAnsi" w:cstheme="minorHAnsi"/>
        </w:rPr>
        <w:t xml:space="preserve">(čitelnost pro jiné národní kontexty), přestože </w:t>
      </w:r>
      <w:r w:rsidRPr="00C24D02">
        <w:rPr>
          <w:rFonts w:asciiTheme="minorHAnsi" w:hAnsiTheme="minorHAnsi" w:cstheme="minorHAnsi"/>
          <w:b/>
          <w:bCs/>
        </w:rPr>
        <w:t>italské prostředí je specifické</w:t>
      </w:r>
      <w:r w:rsidRPr="00C24D02">
        <w:rPr>
          <w:rFonts w:asciiTheme="minorHAnsi" w:hAnsiTheme="minorHAnsi" w:cstheme="minorHAnsi"/>
        </w:rPr>
        <w:t xml:space="preserve">. To nelimituje význam, ale </w:t>
      </w:r>
      <w:r w:rsidRPr="00C24D02">
        <w:rPr>
          <w:rFonts w:asciiTheme="minorHAnsi" w:hAnsiTheme="minorHAnsi" w:cstheme="minorHAnsi"/>
          <w:b/>
          <w:bCs/>
        </w:rPr>
        <w:t>posiluje komparativní relevanci</w:t>
      </w:r>
      <w:r w:rsidRPr="00C24D02">
        <w:rPr>
          <w:rFonts w:asciiTheme="minorHAnsi" w:hAnsiTheme="minorHAnsi" w:cstheme="minorHAnsi"/>
        </w:rPr>
        <w:t xml:space="preserve">. </w:t>
      </w:r>
    </w:p>
    <w:p w14:paraId="5F50A6BE"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 xml:space="preserve">• </w:t>
      </w:r>
      <w:r w:rsidRPr="00C24D02">
        <w:rPr>
          <w:rFonts w:asciiTheme="minorHAnsi" w:hAnsiTheme="minorHAnsi" w:cstheme="minorHAnsi"/>
          <w:b/>
          <w:bCs/>
        </w:rPr>
        <w:t xml:space="preserve">Jazyk publikace ≠ omezení vědecké platnosti: </w:t>
      </w:r>
      <w:r w:rsidRPr="00C24D02">
        <w:rPr>
          <w:rFonts w:asciiTheme="minorHAnsi" w:hAnsiTheme="minorHAnsi" w:cstheme="minorHAnsi"/>
        </w:rPr>
        <w:t xml:space="preserve">Skutečnost, že jde o </w:t>
      </w:r>
      <w:r w:rsidRPr="00C24D02">
        <w:rPr>
          <w:rFonts w:asciiTheme="minorHAnsi" w:hAnsiTheme="minorHAnsi" w:cstheme="minorHAnsi"/>
          <w:b/>
          <w:bCs/>
        </w:rPr>
        <w:t xml:space="preserve">italské odborné nakladatelství </w:t>
      </w:r>
      <w:r w:rsidRPr="00C24D02">
        <w:rPr>
          <w:rFonts w:asciiTheme="minorHAnsi" w:hAnsiTheme="minorHAnsi" w:cstheme="minorHAnsi"/>
        </w:rPr>
        <w:t xml:space="preserve">a </w:t>
      </w:r>
      <w:r w:rsidRPr="00C24D02">
        <w:rPr>
          <w:rFonts w:asciiTheme="minorHAnsi" w:hAnsiTheme="minorHAnsi" w:cstheme="minorHAnsi"/>
          <w:b/>
          <w:bCs/>
        </w:rPr>
        <w:t>italštinu</w:t>
      </w:r>
      <w:r w:rsidRPr="00C24D02">
        <w:rPr>
          <w:rFonts w:asciiTheme="minorHAnsi" w:hAnsiTheme="minorHAnsi" w:cstheme="minorHAnsi"/>
        </w:rPr>
        <w:t xml:space="preserve">, </w:t>
      </w:r>
      <w:r w:rsidRPr="00C24D02">
        <w:rPr>
          <w:rFonts w:asciiTheme="minorHAnsi" w:hAnsiTheme="minorHAnsi" w:cstheme="minorHAnsi"/>
          <w:b/>
          <w:bCs/>
        </w:rPr>
        <w:t>není kritériem snížení vědecké hodnoty</w:t>
      </w:r>
      <w:r w:rsidRPr="00C24D02">
        <w:rPr>
          <w:rFonts w:asciiTheme="minorHAnsi" w:hAnsiTheme="minorHAnsi" w:cstheme="minorHAnsi"/>
        </w:rPr>
        <w:t xml:space="preserve">. Kvalitu a mezinárodní úroveň určuje </w:t>
      </w:r>
      <w:r w:rsidRPr="00C24D02">
        <w:rPr>
          <w:rFonts w:asciiTheme="minorHAnsi" w:hAnsiTheme="minorHAnsi" w:cstheme="minorHAnsi"/>
          <w:b/>
          <w:bCs/>
        </w:rPr>
        <w:t>originalita, význam a metodická náročnost</w:t>
      </w:r>
      <w:r w:rsidRPr="00C24D02">
        <w:rPr>
          <w:rFonts w:asciiTheme="minorHAnsi" w:hAnsiTheme="minorHAnsi" w:cstheme="minorHAnsi"/>
        </w:rPr>
        <w:t xml:space="preserve">, které jsou dle předloženého textu naplněny (nový korpus, nové čtení dětské četby jako faktoru národotvorných procesů). </w:t>
      </w:r>
    </w:p>
    <w:p w14:paraId="3419BAA4"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Závěr </w:t>
      </w:r>
    </w:p>
    <w:p w14:paraId="5A19E378"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Monografie splňuje parametry </w:t>
      </w:r>
      <w:r w:rsidRPr="00C24D02">
        <w:rPr>
          <w:rFonts w:asciiTheme="minorHAnsi" w:hAnsiTheme="minorHAnsi" w:cstheme="minorHAnsi"/>
          <w:b/>
          <w:bCs/>
        </w:rPr>
        <w:t xml:space="preserve">stupně 2 </w:t>
      </w:r>
      <w:r w:rsidRPr="00C24D02">
        <w:rPr>
          <w:rFonts w:asciiTheme="minorHAnsi" w:hAnsiTheme="minorHAnsi" w:cstheme="minorHAnsi"/>
        </w:rPr>
        <w:t xml:space="preserve">dle Metodiky 2017+: je na </w:t>
      </w:r>
      <w:r w:rsidRPr="00C24D02">
        <w:rPr>
          <w:rFonts w:asciiTheme="minorHAnsi" w:hAnsiTheme="minorHAnsi" w:cstheme="minorHAnsi"/>
          <w:b/>
          <w:bCs/>
        </w:rPr>
        <w:t>vynikající mezinárodní úrovni</w:t>
      </w:r>
      <w:r w:rsidRPr="00C24D02">
        <w:rPr>
          <w:rFonts w:asciiTheme="minorHAnsi" w:hAnsiTheme="minorHAnsi" w:cstheme="minorHAnsi"/>
        </w:rPr>
        <w:t xml:space="preserve">, přináší </w:t>
      </w:r>
      <w:r w:rsidRPr="00C24D02">
        <w:rPr>
          <w:rFonts w:asciiTheme="minorHAnsi" w:hAnsiTheme="minorHAnsi" w:cstheme="minorHAnsi"/>
          <w:b/>
          <w:bCs/>
        </w:rPr>
        <w:t xml:space="preserve">nové poznání s nadnárodním přesahem </w:t>
      </w:r>
      <w:r w:rsidRPr="00C24D02">
        <w:rPr>
          <w:rFonts w:asciiTheme="minorHAnsi" w:hAnsiTheme="minorHAnsi" w:cstheme="minorHAnsi"/>
        </w:rPr>
        <w:t xml:space="preserve">a otevírá </w:t>
      </w:r>
      <w:r w:rsidRPr="00C24D02">
        <w:rPr>
          <w:rFonts w:asciiTheme="minorHAnsi" w:hAnsiTheme="minorHAnsi" w:cstheme="minorHAnsi"/>
          <w:b/>
          <w:bCs/>
        </w:rPr>
        <w:t>komparativní výzkumné cesty</w:t>
      </w:r>
      <w:r w:rsidRPr="00C24D02">
        <w:rPr>
          <w:rFonts w:asciiTheme="minorHAnsi" w:hAnsiTheme="minorHAnsi" w:cstheme="minorHAnsi"/>
        </w:rPr>
        <w:t>. Žádáme o přehodnocení známky na stupeň 2.</w:t>
      </w:r>
    </w:p>
    <w:p w14:paraId="2E384DC8"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Námitka navrhuje přehodnocení na stupeň 2 (vynikající mezinárodní úroveň) s ohledem na originalitu, význam a přenositelnost zjištění. Monografie splňuje parametry stupně 2 dle Metodiky 2017+: je na vynikající mezinárodní úrovni, přináší nové poznání s nadnárodním přesahem a otevírá komparativní výzkumné cesty. Hodnotitelé vytýkají absenci „obecnější syntézy“ a omezený dosah kvůli italštině a italské tematice. Námitka: Silná syntéza skrze případovou studii: Monografie detailně ukazuje, jak školní četba přispěla k jazykové unifikaci na dříve roztříštěném území a spoluutvářela moderní identitu. Tato teze je zobecnitelná (čitelnost pro jiné národní kontexty), přestože italské prostředí je specifické. Skutečnost, že jde o italské odborné nakladatelství a italštinu, není kritériem snížení vědecké hodnoty. Kvalitu a mezinárodní úroveň určuje originalita, význam a metodická náročnost, které jsou dle předloženého textu naplněny (nový korpus, nové čtení dětské četby jako faktoru národotvorných procesů).</w:t>
      </w:r>
    </w:p>
    <w:p w14:paraId="410CCDAB"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Je pravda, že v tomto případě se skutečně jedná o publikaci, která „otevírá komparativní výzkumné cesty“, nicméně její mezinárodní přesah zůstává především právě v této komparativní možnosti. I po prošetření publikace v této podobě nepřináší obecnější syntézy využitelné v mezinárodním výzkumném prostoru, proto je hodnocena známkou 3.</w:t>
      </w:r>
    </w:p>
    <w:p w14:paraId="233AF50F"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3.</w:t>
      </w:r>
    </w:p>
    <w:p w14:paraId="27D8156B" w14:textId="77777777" w:rsidR="00B8177D" w:rsidRPr="00C24D02" w:rsidRDefault="00B8177D" w:rsidP="00B8177D">
      <w:pPr>
        <w:spacing w:before="240" w:after="144" w:line="360" w:lineRule="auto"/>
        <w:jc w:val="both"/>
        <w:rPr>
          <w:rFonts w:asciiTheme="minorHAnsi" w:hAnsiTheme="minorHAnsi" w:cstheme="minorHAnsi"/>
          <w:b/>
          <w:bCs/>
          <w:u w:val="single"/>
        </w:rPr>
      </w:pPr>
      <w:r w:rsidRPr="00C24D02">
        <w:rPr>
          <w:rFonts w:asciiTheme="minorHAnsi" w:hAnsiTheme="minorHAnsi" w:cstheme="minorHAnsi"/>
          <w:b/>
          <w:bCs/>
          <w:u w:val="single"/>
        </w:rPr>
        <w:t xml:space="preserve">Vyjádření Sekce pro vědu, výzkum a inovace: </w:t>
      </w:r>
      <w:r w:rsidRPr="00C24D02">
        <w:rPr>
          <w:rFonts w:asciiTheme="minorHAnsi" w:hAnsiTheme="minorHAnsi" w:cstheme="minorHAnsi"/>
        </w:rPr>
        <w:t>bez vyjádření.</w:t>
      </w:r>
    </w:p>
    <w:p w14:paraId="393EF015" w14:textId="65B1032C" w:rsidR="00B8177D" w:rsidRPr="003C778F" w:rsidRDefault="00B8177D" w:rsidP="00B8177D">
      <w:pPr>
        <w:spacing w:before="240" w:after="144" w:line="360" w:lineRule="auto"/>
        <w:jc w:val="both"/>
        <w:rPr>
          <w:rFonts w:asciiTheme="minorHAnsi" w:hAnsiTheme="minorHAnsi" w:cstheme="minorHAnsi"/>
          <w:b/>
          <w:bCs/>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se neztotožňuje s názorem panelu a nesouhlasí s ponecháním původního hodnocení. Navrhuje námitce vyhovět. Publikace splňuje svým zpracováním charakteristiky </w:t>
      </w:r>
      <w:r w:rsidRPr="00C24D02">
        <w:rPr>
          <w:rFonts w:asciiTheme="minorHAnsi" w:hAnsiTheme="minorHAnsi" w:cstheme="minorHAnsi"/>
        </w:rPr>
        <w:lastRenderedPageBreak/>
        <w:t>hodnocení stupněm 2 Metodiky 2017+: je na vynikající mezinárodní úrovni, přináší nové poznání s nadnárodním přesahem a otevírá komparativní výzkumné cesty. KHV vychází z toho, že komparaci lze provádět i na materiálu, který není zpracován do podoby zobecňující syntézy. Také skutečnost, že je výstup sepsán italsky, nijak nezabraňuje tomu, aby vstoupil do mezinárodního vědeckého diskurzu.</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3A0FA698" w14:textId="77777777" w:rsidTr="003D1A59">
        <w:tc>
          <w:tcPr>
            <w:tcW w:w="2405" w:type="dxa"/>
          </w:tcPr>
          <w:p w14:paraId="3E8D31DE"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9BEDC20"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pro českou literaturu AV ČR, v. v. i.</w:t>
            </w:r>
          </w:p>
        </w:tc>
      </w:tr>
      <w:tr w:rsidR="00B8177D" w:rsidRPr="00C24D02" w14:paraId="3D45641B" w14:textId="77777777" w:rsidTr="003D1A59">
        <w:tc>
          <w:tcPr>
            <w:tcW w:w="2405" w:type="dxa"/>
          </w:tcPr>
          <w:p w14:paraId="0576EF70"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3ECC437A"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192503127</w:t>
            </w:r>
          </w:p>
        </w:tc>
      </w:tr>
      <w:tr w:rsidR="00B8177D" w:rsidRPr="00C24D02" w14:paraId="7937986C" w14:textId="77777777" w:rsidTr="003D1A59">
        <w:trPr>
          <w:trHeight w:val="741"/>
        </w:trPr>
        <w:tc>
          <w:tcPr>
            <w:tcW w:w="2405" w:type="dxa"/>
          </w:tcPr>
          <w:p w14:paraId="2A1E2FE9"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320B7C9"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Kanibalka Marie. Zkáza Jeruzaléma a zavržení Židů v staročeské literatuře doby lucemburské</w:t>
            </w:r>
            <w:bookmarkStart w:id="19" w:name="_Hlk218594560"/>
            <w:bookmarkEnd w:id="19"/>
          </w:p>
        </w:tc>
      </w:tr>
      <w:tr w:rsidR="00B8177D" w:rsidRPr="00C24D02" w14:paraId="1E990197" w14:textId="77777777" w:rsidTr="003D1A59">
        <w:tc>
          <w:tcPr>
            <w:tcW w:w="2405" w:type="dxa"/>
          </w:tcPr>
          <w:p w14:paraId="64DF517B"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645CB66"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6.2</w:t>
            </w:r>
          </w:p>
        </w:tc>
      </w:tr>
      <w:tr w:rsidR="00B8177D" w:rsidRPr="00C24D02" w14:paraId="3E7C12D8" w14:textId="77777777" w:rsidTr="003D1A59">
        <w:tc>
          <w:tcPr>
            <w:tcW w:w="2405" w:type="dxa"/>
          </w:tcPr>
          <w:p w14:paraId="6EDEC928"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3D7F26C"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05D412D7" w14:textId="77777777" w:rsidTr="003D1A59">
        <w:tc>
          <w:tcPr>
            <w:tcW w:w="2405" w:type="dxa"/>
          </w:tcPr>
          <w:p w14:paraId="38EBBAD1"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26"/>
            </w:r>
            <w:r w:rsidRPr="00C24D02">
              <w:rPr>
                <w:rFonts w:asciiTheme="minorHAnsi" w:eastAsia="Calibri" w:hAnsiTheme="minorHAnsi" w:cstheme="minorHAnsi"/>
              </w:rPr>
              <w:t>)</w:t>
            </w:r>
          </w:p>
        </w:tc>
        <w:tc>
          <w:tcPr>
            <w:tcW w:w="6378" w:type="dxa"/>
          </w:tcPr>
          <w:p w14:paraId="466AAF4E"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2/2/-/2</w:t>
            </w:r>
          </w:p>
        </w:tc>
      </w:tr>
      <w:tr w:rsidR="00B8177D" w:rsidRPr="00C24D02" w14:paraId="0B10B980" w14:textId="77777777" w:rsidTr="003D1A59">
        <w:tc>
          <w:tcPr>
            <w:tcW w:w="2405" w:type="dxa"/>
          </w:tcPr>
          <w:p w14:paraId="33E36ADE"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687994C"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2.</w:t>
            </w:r>
          </w:p>
        </w:tc>
      </w:tr>
    </w:tbl>
    <w:p w14:paraId="1BA92284" w14:textId="77777777" w:rsidR="00B8177D" w:rsidRPr="00C24D02" w:rsidRDefault="00B8177D" w:rsidP="00B8177D">
      <w:pPr>
        <w:spacing w:after="144" w:line="360" w:lineRule="auto"/>
        <w:rPr>
          <w:rFonts w:asciiTheme="minorHAnsi" w:hAnsiTheme="minorHAnsi" w:cstheme="minorHAnsi"/>
        </w:rPr>
      </w:pPr>
    </w:p>
    <w:p w14:paraId="429DF293"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Snížení hodnocení z důvodu výsledku v ČJ</w:t>
      </w:r>
    </w:p>
    <w:p w14:paraId="406FDC53"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E643DB6"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Ústav pro českou literaturu AV ČR si velice váží procesu hodnocení vybraných výsledků, nicméně mrzí nás, že se v hodnocení 2024 setkáváme s iregularitami v uplatňování kritéria, které bylo v minulosti opakovaně odmítnuto, sice odlišování jazyka hodnoceného výsledku (viz např. Uživatelská příručka, s. 8). </w:t>
      </w:r>
    </w:p>
    <w:p w14:paraId="06A035A1"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Konkrétně u jednoho z našich výsledků čteme následující zprávu hodnotitele: „Vynikající výsledek na velmi solidní mezinárodní úrovni, který byl publikován ve významném národním periodiku registrovaném ve Web of Science seznamuje mezinárodní vědeckou komunitu s kriticky interpretovanými daty českého původu a (nejen) vernakulární povahy z období </w:t>
      </w:r>
      <w:r w:rsidRPr="00C24D02">
        <w:rPr>
          <w:rFonts w:asciiTheme="minorHAnsi" w:hAnsiTheme="minorHAnsi" w:cstheme="minorHAnsi"/>
        </w:rPr>
        <w:lastRenderedPageBreak/>
        <w:t xml:space="preserve">vrcholného/pozdního středověku. Výsledek je originální i z hlediska použitých přístupů, včetně metodologie. </w:t>
      </w:r>
      <w:r w:rsidRPr="00C24D02">
        <w:rPr>
          <w:rFonts w:asciiTheme="minorHAnsi" w:hAnsiTheme="minorHAnsi" w:cstheme="minorHAnsi"/>
          <w:i/>
          <w:iCs/>
        </w:rPr>
        <w:t>Vyšší hodnocení není uděleno z důvodu publikování pouze v českém jazyce – výsledek tak není dobře přístupný globální vědecké komunitě</w:t>
      </w:r>
      <w:r w:rsidRPr="00C24D02">
        <w:rPr>
          <w:rFonts w:asciiTheme="minorHAnsi" w:hAnsiTheme="minorHAnsi" w:cstheme="minorHAnsi"/>
        </w:rPr>
        <w:t xml:space="preserve">.“ </w:t>
      </w:r>
    </w:p>
    <w:p w14:paraId="4B36120B"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Jako zvláště závažná se mi jeví skutečnost, že se toto promítá i do stanoviska </w:t>
      </w:r>
      <w:r w:rsidRPr="00C24D02">
        <w:rPr>
          <w:rFonts w:asciiTheme="minorHAnsi" w:hAnsiTheme="minorHAnsi" w:cstheme="minorHAnsi"/>
          <w:b/>
          <w:bCs/>
        </w:rPr>
        <w:t>panelisty-garanta</w:t>
      </w:r>
      <w:r w:rsidRPr="00C24D02">
        <w:rPr>
          <w:rFonts w:asciiTheme="minorHAnsi" w:hAnsiTheme="minorHAnsi" w:cstheme="minorHAnsi"/>
        </w:rPr>
        <w:t>, z něhož vyjímáme: „Zvoleným jazykem nicméně článek primárně cílí na české prostředí, proto by bylo vhodné uvažovat o jeho překladu do světového jazyka. Navzdory tomu je přínos článku pro základní výzkum nesporný, z hlediska originality, významu a obtížnosti získání je na vynikající mezinárodní úrovni, ale nedosahuje nejvyššího stupně excelence.“</w:t>
      </w:r>
    </w:p>
    <w:p w14:paraId="745EFE71"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Budu vděčný, pokud se kritérium jazyka podaří napříště v souhlasu s metodikou hodnocení z procesu vyloučit. </w:t>
      </w:r>
    </w:p>
    <w:p w14:paraId="7B543C11"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Námitka směřovala k problematickému uplatňování kritéria odlišování jazyka hodnoceného výsledku. S námitkou panel souhlasí a zároveň ujišťuje, že poznámka o publikaci výsledku v češtině v závěrečném hodnocení panelisty-garanta nebyla důvodem pro neudělení hodnocení A (excelentní). Uznáváme, že její umístění v těsné blízkosti závěrečné argumentace nebylo vhodné. Hodnocení B bylo uděleno z důvodu celé řady drobných nepřesností, které ve svém posudku vyjmenoval jeden z hodnotitelů. Proto je zvolené hodnocení adekvátní, a i přes to, že je předložený výsledek na velmi solidní úrovni, nedosahuje kvality excelence. </w:t>
      </w:r>
    </w:p>
    <w:p w14:paraId="699164AA"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2.</w:t>
      </w:r>
    </w:p>
    <w:p w14:paraId="09CFBDC7" w14:textId="77777777" w:rsidR="00B8177D" w:rsidRPr="00C24D02" w:rsidRDefault="00B8177D" w:rsidP="00B8177D">
      <w:pPr>
        <w:spacing w:before="240" w:after="144" w:line="360" w:lineRule="auto"/>
        <w:jc w:val="both"/>
        <w:rPr>
          <w:rFonts w:asciiTheme="minorHAnsi" w:hAnsiTheme="minorHAnsi" w:cstheme="minorHAnsi"/>
          <w:b/>
          <w:bCs/>
          <w:u w:val="single"/>
        </w:rPr>
      </w:pPr>
      <w:r w:rsidRPr="00C24D02">
        <w:rPr>
          <w:rFonts w:asciiTheme="minorHAnsi" w:hAnsiTheme="minorHAnsi" w:cstheme="minorHAnsi"/>
          <w:b/>
          <w:bCs/>
          <w:u w:val="single"/>
        </w:rPr>
        <w:t xml:space="preserve">Vyjádření Sekce pro vědu, výzkum a inovace: </w:t>
      </w:r>
      <w:r w:rsidRPr="00C24D02">
        <w:rPr>
          <w:rFonts w:asciiTheme="minorHAnsi" w:hAnsiTheme="minorHAnsi" w:cstheme="minorHAnsi"/>
        </w:rPr>
        <w:t>bez vyjádření.</w:t>
      </w:r>
    </w:p>
    <w:p w14:paraId="622C88A3" w14:textId="52D3896C"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bookmarkStart w:id="20" w:name="_Hlk219732966"/>
      <w:r w:rsidRPr="00C24D02">
        <w:rPr>
          <w:rFonts w:asciiTheme="minorHAnsi" w:hAnsiTheme="minorHAnsi" w:cstheme="minorHAnsi"/>
        </w:rPr>
        <w:t>KHV souhlasí s ponecháním původního hodnocení, které bylo uděleno podle platných pravidel. KHV zcela souhlasí, že jazyk publikace nesmí být kritériem snižujícím hodnocení, proto také závěr prvního hodnotitele, který explicitně zmiňuje jazyk publikace jako rozhodující pro snížení známky, považuje za nepřijatelný. KHV ovšem souhlasí s výtkami druhého hodnotitele, který poukazuje na nevyužité interpretační možnosti.</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6E5C4E40" w14:textId="77777777" w:rsidTr="003D1A59">
        <w:tc>
          <w:tcPr>
            <w:tcW w:w="2405" w:type="dxa"/>
          </w:tcPr>
          <w:bookmarkEnd w:id="20"/>
          <w:p w14:paraId="6182C59C"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0E3CDD5"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pro jazyk český AV ČR</w:t>
            </w:r>
          </w:p>
        </w:tc>
      </w:tr>
      <w:tr w:rsidR="00B8177D" w:rsidRPr="00C24D02" w14:paraId="26D287D9" w14:textId="77777777" w:rsidTr="003D1A59">
        <w:tc>
          <w:tcPr>
            <w:tcW w:w="2405" w:type="dxa"/>
          </w:tcPr>
          <w:p w14:paraId="6632E06A"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48D82364"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192509905</w:t>
            </w:r>
          </w:p>
        </w:tc>
      </w:tr>
      <w:tr w:rsidR="00B8177D" w:rsidRPr="00C24D02" w14:paraId="0ADA5732" w14:textId="77777777" w:rsidTr="003D1A59">
        <w:trPr>
          <w:trHeight w:val="741"/>
        </w:trPr>
        <w:tc>
          <w:tcPr>
            <w:tcW w:w="2405" w:type="dxa"/>
          </w:tcPr>
          <w:p w14:paraId="75B26579"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Název</w:t>
            </w:r>
          </w:p>
        </w:tc>
        <w:tc>
          <w:tcPr>
            <w:tcW w:w="6378" w:type="dxa"/>
          </w:tcPr>
          <w:p w14:paraId="57EBC466"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Etymologický slovník jazyka staroslověnského: tradice, kontexty, inspirace</w:t>
            </w:r>
          </w:p>
        </w:tc>
      </w:tr>
      <w:tr w:rsidR="00B8177D" w:rsidRPr="00C24D02" w14:paraId="084416F6" w14:textId="77777777" w:rsidTr="003D1A59">
        <w:tc>
          <w:tcPr>
            <w:tcW w:w="2405" w:type="dxa"/>
          </w:tcPr>
          <w:p w14:paraId="754FE058"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45E7F3E"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6.2.</w:t>
            </w:r>
          </w:p>
        </w:tc>
      </w:tr>
      <w:tr w:rsidR="00B8177D" w:rsidRPr="00C24D02" w14:paraId="3257E56E" w14:textId="77777777" w:rsidTr="003D1A59">
        <w:tc>
          <w:tcPr>
            <w:tcW w:w="2405" w:type="dxa"/>
          </w:tcPr>
          <w:p w14:paraId="3731A001"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5D40887"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0D6DAC8D" w14:textId="77777777" w:rsidTr="003D1A59">
        <w:tc>
          <w:tcPr>
            <w:tcW w:w="2405" w:type="dxa"/>
          </w:tcPr>
          <w:p w14:paraId="71098440"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27"/>
            </w:r>
            <w:r w:rsidRPr="00C24D02">
              <w:rPr>
                <w:rFonts w:asciiTheme="minorHAnsi" w:eastAsia="Calibri" w:hAnsiTheme="minorHAnsi" w:cstheme="minorHAnsi"/>
              </w:rPr>
              <w:t>)</w:t>
            </w:r>
          </w:p>
        </w:tc>
        <w:tc>
          <w:tcPr>
            <w:tcW w:w="6378" w:type="dxa"/>
          </w:tcPr>
          <w:p w14:paraId="15237C8B"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2/4/3/3</w:t>
            </w:r>
          </w:p>
        </w:tc>
      </w:tr>
      <w:tr w:rsidR="00B8177D" w:rsidRPr="00C24D02" w14:paraId="10ED69F9" w14:textId="77777777" w:rsidTr="003D1A59">
        <w:tc>
          <w:tcPr>
            <w:tcW w:w="2405" w:type="dxa"/>
          </w:tcPr>
          <w:p w14:paraId="43815EB6"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51B3C84"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7F073D03" w14:textId="77777777" w:rsidR="00B8177D" w:rsidRPr="00C24D02" w:rsidRDefault="00B8177D" w:rsidP="00B8177D">
      <w:pPr>
        <w:spacing w:after="144" w:line="360" w:lineRule="auto"/>
        <w:rPr>
          <w:rFonts w:asciiTheme="minorHAnsi" w:hAnsiTheme="minorHAnsi" w:cstheme="minorHAnsi"/>
        </w:rPr>
      </w:pPr>
    </w:p>
    <w:p w14:paraId="53BC87D6"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Výsledek v češtině</w:t>
      </w:r>
    </w:p>
    <w:p w14:paraId="02B3FE61"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E32765A"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1) Námitky vůči aplikaci hodnoticích kritérií </w:t>
      </w:r>
    </w:p>
    <w:p w14:paraId="00F32D7F" w14:textId="77777777" w:rsidR="00B8177D" w:rsidRPr="00C24D02" w:rsidRDefault="00B8177D" w:rsidP="00B8177D">
      <w:pPr>
        <w:numPr>
          <w:ilvl w:val="0"/>
          <w:numId w:val="6"/>
        </w:numPr>
        <w:spacing w:after="144" w:line="360" w:lineRule="auto"/>
        <w:jc w:val="both"/>
        <w:rPr>
          <w:rFonts w:asciiTheme="minorHAnsi" w:hAnsiTheme="minorHAnsi" w:cstheme="minorHAnsi"/>
        </w:rPr>
      </w:pPr>
      <w:r w:rsidRPr="00C24D02">
        <w:rPr>
          <w:rFonts w:asciiTheme="minorHAnsi" w:hAnsiTheme="minorHAnsi" w:cstheme="minorHAnsi"/>
        </w:rPr>
        <w:t xml:space="preserve">a) V kvalitativní stupnici pro I. kategorii se operuje s kritériem, které není v metodice náležitě definováno a jehož uplatňování považujeme za krajně problematické: </w:t>
      </w:r>
      <w:r w:rsidRPr="00C24D02">
        <w:rPr>
          <w:rFonts w:asciiTheme="minorHAnsi" w:hAnsiTheme="minorHAnsi" w:cstheme="minorHAnsi"/>
          <w:b/>
          <w:bCs/>
        </w:rPr>
        <w:t xml:space="preserve">kritérium „obtížnosti získání“ výsledku </w:t>
      </w:r>
      <w:r w:rsidRPr="00C24D02">
        <w:rPr>
          <w:rFonts w:asciiTheme="minorHAnsi" w:hAnsiTheme="minorHAnsi" w:cstheme="minorHAnsi"/>
        </w:rPr>
        <w:t xml:space="preserve">(„efforts required to obtain the results“). Domníváme se, že toto kritérium je zavádějící a svou neurčitostí dává prostor pro svévolnou aplikaci. </w:t>
      </w:r>
    </w:p>
    <w:p w14:paraId="0C25209B"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Jsme přesvědčeni, že hodnotitelé by neměli posuzovat, jak obtížné bylo získat výsledky, ale jak kvalitní je design výzkumu. Díky kvalitnímu a promyšlenému designu výzkumu lze ušetřit práci a získat odpovědi na výzkumné otázky snadno, zatímco špatný, nepromyšlený design může výzkum komplikovat a vést k jeho neekonomičnosti. Spojování kvality výzkumu s pracností je nesmyslné. </w:t>
      </w:r>
    </w:p>
    <w:p w14:paraId="07608805"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K tomu jeden příklad z dějin vědy: V roce 1966 dosáhl William Labov zásadního průlomu v sociolingvistice pomocí jednoduchého, metodologicky promyšleného výzkumu, kterým položil základy tzv. variační sociolingvistiky (viz studii The social stratification of (r) in New York City department stores, in: W. Labov, The Social Stratification of English in New York City, Second Edition, Cambridge University Press, 2006, s. 40–57). Elegantní a geniálně jednoduchý </w:t>
      </w:r>
      <w:r w:rsidRPr="00C24D02">
        <w:rPr>
          <w:rFonts w:asciiTheme="minorHAnsi" w:hAnsiTheme="minorHAnsi" w:cstheme="minorHAnsi"/>
        </w:rPr>
        <w:lastRenderedPageBreak/>
        <w:t xml:space="preserve">výzkumný design mu umožnil získat kvalitní data během jediného dne. Tato studie je klasickým příkladem toho, že vědecké inovace nepocházejí z technické či organizační složitosti výzkumu („obtížnosti získání výsledku“), ale z výzkumného nápadu a chytré koncepce. </w:t>
      </w:r>
    </w:p>
    <w:p w14:paraId="1D4EDF27" w14:textId="77777777" w:rsidR="00B8177D" w:rsidRPr="00C24D02" w:rsidRDefault="00B8177D" w:rsidP="00B8177D">
      <w:pPr>
        <w:numPr>
          <w:ilvl w:val="0"/>
          <w:numId w:val="7"/>
        </w:numPr>
        <w:spacing w:after="144" w:line="360" w:lineRule="auto"/>
        <w:jc w:val="both"/>
        <w:rPr>
          <w:rFonts w:asciiTheme="minorHAnsi" w:hAnsiTheme="minorHAnsi" w:cstheme="minorHAnsi"/>
        </w:rPr>
      </w:pPr>
      <w:r w:rsidRPr="00C24D02">
        <w:rPr>
          <w:rFonts w:asciiTheme="minorHAnsi" w:hAnsiTheme="minorHAnsi" w:cstheme="minorHAnsi"/>
        </w:rPr>
        <w:t xml:space="preserve">b) Kritérium </w:t>
      </w:r>
      <w:r w:rsidRPr="00C24D02">
        <w:rPr>
          <w:rFonts w:asciiTheme="minorHAnsi" w:hAnsiTheme="minorHAnsi" w:cstheme="minorHAnsi"/>
          <w:b/>
          <w:bCs/>
        </w:rPr>
        <w:t>mezinárodního přesahu</w:t>
      </w:r>
      <w:r w:rsidRPr="00C24D02">
        <w:rPr>
          <w:rFonts w:asciiTheme="minorHAnsi" w:hAnsiTheme="minorHAnsi" w:cstheme="minorHAnsi"/>
        </w:rPr>
        <w:t xml:space="preserve">, které je u některých výstupů uplatňováno jako hlavní argument pro snížené hodnocení, je v kontextu bohemistického výzkumu nespravedlivé, protože zvýhodňuje pracoviště, která mají výzkum zahraničních či globálních témat jako svou hlavní činnost. Jako příklad </w:t>
      </w:r>
      <w:r w:rsidRPr="00C24D02">
        <w:rPr>
          <w:rFonts w:asciiTheme="minorHAnsi" w:hAnsiTheme="minorHAnsi" w:cstheme="minorHAnsi"/>
          <w:b/>
          <w:bCs/>
        </w:rPr>
        <w:t xml:space="preserve">nespravedlivého argumentování tématem </w:t>
      </w:r>
      <w:r w:rsidRPr="00C24D02">
        <w:rPr>
          <w:rFonts w:asciiTheme="minorHAnsi" w:hAnsiTheme="minorHAnsi" w:cstheme="minorHAnsi"/>
        </w:rPr>
        <w:t xml:space="preserve">můžeme uvést hodnocení výsledku 192499805 (Atlas nářečí českého jazyka – nominativ singuláru feminin): „Výsledek má nepochybně hodnotu pro národní filologii, nemá ale bohužel širší mezinárodní dopad, což je pochopitelné s ohledem na téma.“ </w:t>
      </w:r>
    </w:p>
    <w:p w14:paraId="75D3A741" w14:textId="77777777" w:rsidR="00B8177D" w:rsidRPr="00C24D02" w:rsidRDefault="00B8177D" w:rsidP="00B8177D">
      <w:pPr>
        <w:numPr>
          <w:ilvl w:val="0"/>
          <w:numId w:val="8"/>
        </w:numPr>
        <w:spacing w:after="144" w:line="360" w:lineRule="auto"/>
        <w:jc w:val="both"/>
        <w:rPr>
          <w:rFonts w:asciiTheme="minorHAnsi" w:hAnsiTheme="minorHAnsi" w:cstheme="minorHAnsi"/>
        </w:rPr>
      </w:pPr>
      <w:r w:rsidRPr="00C24D02">
        <w:rPr>
          <w:rFonts w:asciiTheme="minorHAnsi" w:hAnsiTheme="minorHAnsi" w:cstheme="minorHAnsi"/>
        </w:rPr>
        <w:t xml:space="preserve">c) V našem ústavu zkoumáme český národní jazyk. Naše výstupy jsou v komunitě zahraničních bohemistů vysoce hodnoceny a jsou považovány za primární zdroje poučení. Z tohoto hlediska nic nebrání tomu, aby u nich bylo uplatněno hodnocení „world-leading“. K tomu se však téměř nikdo z hodnotitelů neodhodlá. Hodnotitelé zdůvodňují své rozhodnutí nehodnotit vysokými známkami poukazem na </w:t>
      </w:r>
      <w:r w:rsidRPr="00C24D02">
        <w:rPr>
          <w:rFonts w:asciiTheme="minorHAnsi" w:hAnsiTheme="minorHAnsi" w:cstheme="minorHAnsi"/>
          <w:b/>
          <w:bCs/>
        </w:rPr>
        <w:t>češtinu jako jazyk publikace</w:t>
      </w:r>
      <w:r w:rsidRPr="00C24D02">
        <w:rPr>
          <w:rFonts w:asciiTheme="minorHAnsi" w:hAnsiTheme="minorHAnsi" w:cstheme="minorHAnsi"/>
        </w:rPr>
        <w:t xml:space="preserve">, což je v přímém rozporu s metodickým doporučením, které výslovně uvádí, že čeština není překážkou pro hodnocení známkami „world-leading“ nebo „internationally excellent“ (viz M17+ Uživatelská příručka pro výzkumné organizace, členy Odborných panelů, externí hodnotitele a poskytovatele institucionální podpory VaVaI). Příkladů pro tuto vadnou argumentaci je celá řada: </w:t>
      </w:r>
    </w:p>
    <w:p w14:paraId="53C46721"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w:t>
      </w:r>
      <w:r w:rsidRPr="00C24D02">
        <w:rPr>
          <w:rFonts w:asciiTheme="minorHAnsi" w:hAnsiTheme="minorHAnsi" w:cstheme="minorHAnsi"/>
          <w:i/>
          <w:iCs/>
        </w:rPr>
        <w:t>Výsledek 192509905, Etymologický slovník jazyka staroslověnského: tradice, kontexty, inspirace:</w:t>
      </w:r>
      <w:r w:rsidRPr="00C24D02">
        <w:rPr>
          <w:rFonts w:asciiTheme="minorHAnsi" w:hAnsiTheme="minorHAnsi" w:cstheme="minorHAnsi"/>
        </w:rPr>
        <w:t xml:space="preserve"> „Pro zahraničního badatele je problematická jazyková bariéra (všechny příspěvky jsou zcela nepochopitelně v češtině). Máme tak před sebou výsledek, který je jen dalším produktem [sic!] grantového financování a který je z hlediska originality, významu a obtížnosti uznatelný pouze národně.“ </w:t>
      </w:r>
    </w:p>
    <w:p w14:paraId="30B53E9F"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w:t>
      </w:r>
    </w:p>
    <w:p w14:paraId="3430273D" w14:textId="77777777" w:rsidR="00B8177D" w:rsidRPr="00C24D02" w:rsidRDefault="00B8177D" w:rsidP="00B8177D">
      <w:pPr>
        <w:spacing w:before="120" w:after="120" w:line="360" w:lineRule="auto"/>
        <w:jc w:val="both"/>
        <w:rPr>
          <w:rFonts w:asciiTheme="minorHAnsi" w:hAnsiTheme="minorHAnsi" w:cstheme="minorHAnsi"/>
        </w:rPr>
      </w:pPr>
      <w:r w:rsidRPr="00C24D02">
        <w:rPr>
          <w:rFonts w:asciiTheme="minorHAnsi" w:hAnsiTheme="minorHAnsi" w:cstheme="minorHAnsi"/>
        </w:rPr>
        <w:t xml:space="preserve">Kritérium češtiny jako jazyk publikace. </w:t>
      </w:r>
    </w:p>
    <w:p w14:paraId="365E21F5"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Čeština plně v souladu s metodikou hodnocení nemůže být důvodem ke snížení hodnotící známky. Pokud se výjimečně úvahy hodnotitele ubírají tímto nesprávným směrem, panelisté se snaží takový pohled eliminovat a konečné hodnocení korigují žádoucím směrem.</w:t>
      </w:r>
    </w:p>
    <w:p w14:paraId="544982D4" w14:textId="77777777" w:rsidR="00B8177D" w:rsidRPr="00C24D02" w:rsidRDefault="00B8177D" w:rsidP="00B8177D">
      <w:pPr>
        <w:spacing w:before="240" w:after="144" w:line="360" w:lineRule="auto"/>
        <w:jc w:val="both"/>
        <w:rPr>
          <w:rFonts w:asciiTheme="minorHAnsi" w:hAnsiTheme="minorHAnsi" w:cstheme="minorHAnsi"/>
          <w:b/>
          <w:u w:val="single"/>
        </w:rPr>
      </w:pPr>
      <w:r w:rsidRPr="00C24D02">
        <w:rPr>
          <w:rFonts w:asciiTheme="minorHAnsi" w:hAnsiTheme="minorHAnsi" w:cstheme="minorHAnsi"/>
          <w:b/>
          <w:u w:val="single"/>
        </w:rPr>
        <w:lastRenderedPageBreak/>
        <w:t xml:space="preserve">Vyjádření Odborného panelu: </w:t>
      </w:r>
      <w:r w:rsidRPr="00C24D02">
        <w:rPr>
          <w:rFonts w:asciiTheme="minorHAnsi" w:hAnsiTheme="minorHAnsi" w:cstheme="minorHAnsi"/>
        </w:rPr>
        <w:t>Panel zůstává u svého hodnocení známkou 3.</w:t>
      </w:r>
    </w:p>
    <w:p w14:paraId="232CDC27" w14:textId="77777777" w:rsidR="00B8177D" w:rsidRPr="00C24D02" w:rsidRDefault="00B8177D" w:rsidP="00B8177D">
      <w:pPr>
        <w:spacing w:before="240" w:after="144" w:line="360" w:lineRule="auto"/>
        <w:jc w:val="both"/>
        <w:rPr>
          <w:rFonts w:asciiTheme="minorHAnsi" w:hAnsiTheme="minorHAnsi" w:cstheme="minorHAnsi"/>
          <w:b/>
          <w:bCs/>
          <w:u w:val="single"/>
        </w:rPr>
      </w:pPr>
      <w:r w:rsidRPr="00C24D02">
        <w:rPr>
          <w:rFonts w:asciiTheme="minorHAnsi" w:hAnsiTheme="minorHAnsi" w:cstheme="minorHAnsi"/>
          <w:b/>
          <w:bCs/>
          <w:u w:val="single"/>
        </w:rPr>
        <w:t xml:space="preserve">Vyjádření Sekce pro vědu, výzkum a inovace: </w:t>
      </w:r>
      <w:r w:rsidRPr="00C24D02">
        <w:rPr>
          <w:rFonts w:asciiTheme="minorHAnsi" w:hAnsiTheme="minorHAnsi" w:cstheme="minorHAnsi"/>
        </w:rPr>
        <w:t>bez vyjádření.</w:t>
      </w:r>
    </w:p>
    <w:p w14:paraId="16A3B304" w14:textId="184BD74B"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 KHV s politováním konstatuje, že v hodnoceních se objevuje jako jeden z argumentů snižující kvalitu výsledku český jazyk jako jazyk publikace, což není v souladu s Metodikou 2017+. Nicméně, hodnocení přináší i další pádné argumenty, které definují kvalitu publikace a jsou v souladu s hodnocením stupněm 3.</w:t>
      </w:r>
    </w:p>
    <w:tbl>
      <w:tblPr>
        <w:tblStyle w:val="Mkatabulky"/>
        <w:tblW w:w="8784" w:type="dxa"/>
        <w:tblInd w:w="113" w:type="dxa"/>
        <w:tblLayout w:type="fixed"/>
        <w:tblLook w:val="04A0" w:firstRow="1" w:lastRow="0" w:firstColumn="1" w:lastColumn="0" w:noHBand="0" w:noVBand="1"/>
      </w:tblPr>
      <w:tblGrid>
        <w:gridCol w:w="2405"/>
        <w:gridCol w:w="6379"/>
      </w:tblGrid>
      <w:tr w:rsidR="00B8177D" w:rsidRPr="00C24D02" w14:paraId="4E8F0BA2" w14:textId="77777777" w:rsidTr="003D1A59">
        <w:tc>
          <w:tcPr>
            <w:tcW w:w="2405" w:type="dxa"/>
          </w:tcPr>
          <w:p w14:paraId="211758CD"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7B67ABB"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pro jazyk český AV ČR</w:t>
            </w:r>
          </w:p>
        </w:tc>
      </w:tr>
      <w:tr w:rsidR="00B8177D" w:rsidRPr="00C24D02" w14:paraId="7D526D41" w14:textId="77777777" w:rsidTr="003D1A59">
        <w:tc>
          <w:tcPr>
            <w:tcW w:w="2405" w:type="dxa"/>
          </w:tcPr>
          <w:p w14:paraId="60BE2C6D"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ABB44FC"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192509860</w:t>
            </w:r>
          </w:p>
        </w:tc>
      </w:tr>
      <w:tr w:rsidR="00B8177D" w:rsidRPr="00C24D02" w14:paraId="0A24FFBA" w14:textId="77777777" w:rsidTr="003D1A59">
        <w:trPr>
          <w:trHeight w:val="741"/>
        </w:trPr>
        <w:tc>
          <w:tcPr>
            <w:tcW w:w="2405" w:type="dxa"/>
          </w:tcPr>
          <w:p w14:paraId="5E36649A"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7BE49E0"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K presupozicím v češtině a jejich (ne)stálosti ve vztahu ke kontextu</w:t>
            </w:r>
          </w:p>
        </w:tc>
      </w:tr>
      <w:tr w:rsidR="00B8177D" w:rsidRPr="00C24D02" w14:paraId="209ABEA6" w14:textId="77777777" w:rsidTr="003D1A59">
        <w:tc>
          <w:tcPr>
            <w:tcW w:w="2405" w:type="dxa"/>
          </w:tcPr>
          <w:p w14:paraId="487344E2"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926626E"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6.2.</w:t>
            </w:r>
          </w:p>
        </w:tc>
      </w:tr>
      <w:tr w:rsidR="00B8177D" w:rsidRPr="00C24D02" w14:paraId="52F58DAA" w14:textId="77777777" w:rsidTr="003D1A59">
        <w:tc>
          <w:tcPr>
            <w:tcW w:w="2405" w:type="dxa"/>
          </w:tcPr>
          <w:p w14:paraId="6B90B1FB"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908D58F"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B8177D" w:rsidRPr="00C24D02" w14:paraId="4D6BEE25" w14:textId="77777777" w:rsidTr="003D1A59">
        <w:tc>
          <w:tcPr>
            <w:tcW w:w="2405" w:type="dxa"/>
          </w:tcPr>
          <w:p w14:paraId="31488DDF"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28"/>
            </w:r>
            <w:r w:rsidRPr="00C24D02">
              <w:rPr>
                <w:rFonts w:asciiTheme="minorHAnsi" w:eastAsia="Calibri" w:hAnsiTheme="minorHAnsi" w:cstheme="minorHAnsi"/>
              </w:rPr>
              <w:t>)</w:t>
            </w:r>
          </w:p>
        </w:tc>
        <w:tc>
          <w:tcPr>
            <w:tcW w:w="6378" w:type="dxa"/>
          </w:tcPr>
          <w:p w14:paraId="4777790E" w14:textId="77777777" w:rsidR="00B8177D" w:rsidRPr="00C24D02" w:rsidRDefault="00B8177D"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4/3/-/4</w:t>
            </w:r>
          </w:p>
        </w:tc>
      </w:tr>
      <w:tr w:rsidR="00B8177D" w:rsidRPr="00C24D02" w14:paraId="7C8EEC0E" w14:textId="77777777" w:rsidTr="003D1A59">
        <w:tc>
          <w:tcPr>
            <w:tcW w:w="2405" w:type="dxa"/>
          </w:tcPr>
          <w:p w14:paraId="409BD609" w14:textId="77777777" w:rsidR="00B8177D" w:rsidRPr="00C24D02" w:rsidRDefault="00B8177D"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56EF3E2" w14:textId="77777777" w:rsidR="00B8177D" w:rsidRPr="00C24D02" w:rsidRDefault="00B8177D"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1202D5D1" w14:textId="77777777" w:rsidR="00B8177D" w:rsidRPr="00C24D02" w:rsidRDefault="00B8177D" w:rsidP="00B8177D">
      <w:pPr>
        <w:spacing w:after="144" w:line="360" w:lineRule="auto"/>
        <w:rPr>
          <w:rFonts w:asciiTheme="minorHAnsi" w:hAnsiTheme="minorHAnsi" w:cstheme="minorHAnsi"/>
        </w:rPr>
      </w:pPr>
    </w:p>
    <w:p w14:paraId="11D168CD" w14:textId="77777777" w:rsidR="00B8177D" w:rsidRPr="00C24D02" w:rsidRDefault="00B8177D" w:rsidP="00B8177D">
      <w:pPr>
        <w:spacing w:after="144" w:line="360" w:lineRule="auto"/>
        <w:jc w:val="both"/>
        <w:rPr>
          <w:rFonts w:asciiTheme="minorHAnsi" w:hAnsiTheme="minorHAnsi" w:cstheme="minorHAnsi"/>
          <w:b/>
        </w:rPr>
      </w:pPr>
      <w:r w:rsidRPr="00C24D02">
        <w:rPr>
          <w:rFonts w:asciiTheme="minorHAnsi" w:hAnsiTheme="minorHAnsi" w:cstheme="minorHAnsi"/>
          <w:b/>
        </w:rPr>
        <w:t>Námitka: Výsledek v češtině</w:t>
      </w:r>
    </w:p>
    <w:p w14:paraId="29AE4AF4"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E7E3B40"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1) Námitky vůči aplikaci hodnoticích kritérií </w:t>
      </w:r>
    </w:p>
    <w:p w14:paraId="6BB3BA19" w14:textId="77777777" w:rsidR="00B8177D" w:rsidRPr="00C24D02" w:rsidRDefault="00B8177D" w:rsidP="00B8177D">
      <w:pPr>
        <w:numPr>
          <w:ilvl w:val="0"/>
          <w:numId w:val="6"/>
        </w:numPr>
        <w:spacing w:after="144" w:line="360" w:lineRule="auto"/>
        <w:jc w:val="both"/>
        <w:rPr>
          <w:rFonts w:asciiTheme="minorHAnsi" w:hAnsiTheme="minorHAnsi" w:cstheme="minorHAnsi"/>
        </w:rPr>
      </w:pPr>
      <w:r w:rsidRPr="00C24D02">
        <w:rPr>
          <w:rFonts w:asciiTheme="minorHAnsi" w:hAnsiTheme="minorHAnsi" w:cstheme="minorHAnsi"/>
        </w:rPr>
        <w:t xml:space="preserve">a) V kvalitativní stupnici pro I. kategorii se operuje s kritériem, které není v metodice náležitě definováno a jehož uplatňování považujeme za krajně problematické: </w:t>
      </w:r>
      <w:r w:rsidRPr="00C24D02">
        <w:rPr>
          <w:rFonts w:asciiTheme="minorHAnsi" w:hAnsiTheme="minorHAnsi" w:cstheme="minorHAnsi"/>
          <w:b/>
          <w:bCs/>
        </w:rPr>
        <w:t xml:space="preserve">kritérium „obtížnosti získání“ výsledku </w:t>
      </w:r>
      <w:r w:rsidRPr="00C24D02">
        <w:rPr>
          <w:rFonts w:asciiTheme="minorHAnsi" w:hAnsiTheme="minorHAnsi" w:cstheme="minorHAnsi"/>
        </w:rPr>
        <w:t xml:space="preserve">(„efforts required to obtain the results“). Domníváme se, že toto kritérium je zavádějící a svou neurčitostí dává prostor pro svévolnou aplikaci. </w:t>
      </w:r>
    </w:p>
    <w:p w14:paraId="68F74598"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 xml:space="preserve">Jsme přesvědčeni, že hodnotitelé by neměli posuzovat, jak obtížné bylo získat výsledky, ale jak kvalitní je design výzkumu. Díky kvalitnímu a promyšlenému designu výzkumu lze ušetřit práci a získat odpovědi na výzkumné otázky snadno, zatímco špatný, nepromyšlený design může výzkum komplikovat a vést k jeho neekonomičnosti. Spojování kvality výzkumu s pracností je nesmyslné. </w:t>
      </w:r>
    </w:p>
    <w:p w14:paraId="7135C370"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K tomu jeden příklad z dějin vědy: V roce 1966 dosáhl William Labov zásadního průlomu v sociolingvistice pomocí jednoduchého, metodologicky promyšleného výzkumu, kterým položil základy tzv. variační sociolingvistiky (viz studii The social stratification of (r) in New York City department stores, in: W. Labov, The Social Stratification of English in New York City, Second Edition, Cambridge University Press, 2006, s. 40–57). Elegantní a geniálně jednoduchý výzkumný design mu umožnil získat kvalitní data během jediného dne. Tato studie je klasickým příkladem toho, že vědecké inovace nepocházejí z technické či organizační složitosti výzkumu („obtížnosti získání výsledku“), ale z výzkumného nápadu a chytré koncepce. </w:t>
      </w:r>
    </w:p>
    <w:p w14:paraId="36979D1E" w14:textId="77777777" w:rsidR="00B8177D" w:rsidRPr="00C24D02" w:rsidRDefault="00B8177D" w:rsidP="00B8177D">
      <w:pPr>
        <w:numPr>
          <w:ilvl w:val="0"/>
          <w:numId w:val="7"/>
        </w:numPr>
        <w:spacing w:after="144" w:line="360" w:lineRule="auto"/>
        <w:jc w:val="both"/>
        <w:rPr>
          <w:rFonts w:asciiTheme="minorHAnsi" w:hAnsiTheme="minorHAnsi" w:cstheme="minorHAnsi"/>
        </w:rPr>
      </w:pPr>
      <w:r w:rsidRPr="00C24D02">
        <w:rPr>
          <w:rFonts w:asciiTheme="minorHAnsi" w:hAnsiTheme="minorHAnsi" w:cstheme="minorHAnsi"/>
        </w:rPr>
        <w:t xml:space="preserve">b) Kritérium </w:t>
      </w:r>
      <w:r w:rsidRPr="00C24D02">
        <w:rPr>
          <w:rFonts w:asciiTheme="minorHAnsi" w:hAnsiTheme="minorHAnsi" w:cstheme="minorHAnsi"/>
          <w:b/>
          <w:bCs/>
        </w:rPr>
        <w:t>mezinárodního přesahu</w:t>
      </w:r>
      <w:r w:rsidRPr="00C24D02">
        <w:rPr>
          <w:rFonts w:asciiTheme="minorHAnsi" w:hAnsiTheme="minorHAnsi" w:cstheme="minorHAnsi"/>
        </w:rPr>
        <w:t xml:space="preserve">, které je u některých výstupů uplatňováno jako hlavní argument pro snížené hodnocení, je v kontextu bohemistického výzkumu nespravedlivé, protože zvýhodňuje pracoviště, která mají výzkum zahraničních či globálních témat jako svou hlavní činnost. Jako příklad </w:t>
      </w:r>
      <w:r w:rsidRPr="00C24D02">
        <w:rPr>
          <w:rFonts w:asciiTheme="minorHAnsi" w:hAnsiTheme="minorHAnsi" w:cstheme="minorHAnsi"/>
          <w:b/>
          <w:bCs/>
        </w:rPr>
        <w:t xml:space="preserve">nespravedlivého argumentování tématem </w:t>
      </w:r>
      <w:r w:rsidRPr="00C24D02">
        <w:rPr>
          <w:rFonts w:asciiTheme="minorHAnsi" w:hAnsiTheme="minorHAnsi" w:cstheme="minorHAnsi"/>
        </w:rPr>
        <w:t xml:space="preserve">můžeme uvést hodnocení výsledku 192499805 (Atlas nářečí českého jazyka – nominativ singuláru feminin): „Výsledek má nepochybně hodnotu pro národní filologii, nemá ale bohužel širší mezinárodní dopad, což je pochopitelné s ohledem na téma.“ </w:t>
      </w:r>
    </w:p>
    <w:p w14:paraId="7173646F" w14:textId="77777777" w:rsidR="00B8177D" w:rsidRPr="00C24D02" w:rsidRDefault="00B8177D" w:rsidP="00B8177D">
      <w:pPr>
        <w:numPr>
          <w:ilvl w:val="0"/>
          <w:numId w:val="8"/>
        </w:numPr>
        <w:spacing w:after="144" w:line="360" w:lineRule="auto"/>
        <w:jc w:val="both"/>
        <w:rPr>
          <w:rFonts w:asciiTheme="minorHAnsi" w:hAnsiTheme="minorHAnsi" w:cstheme="minorHAnsi"/>
        </w:rPr>
      </w:pPr>
      <w:r w:rsidRPr="00C24D02">
        <w:rPr>
          <w:rFonts w:asciiTheme="minorHAnsi" w:hAnsiTheme="minorHAnsi" w:cstheme="minorHAnsi"/>
        </w:rPr>
        <w:t xml:space="preserve">c) V našem ústavu zkoumáme český národní jazyk. Naše výstupy jsou v komunitě zahraničních bohemistů vysoce hodnoceny a jsou považovány za primární zdroje poučení. Z tohoto hlediska nic nebrání tomu, aby u nich bylo uplatněno hodnocení „world-leading“. K tomu se však téměř nikdo z hodnotitelů neodhodlá. Hodnotitelé zdůvodňují své rozhodnutí nehodnotit vysokými známkami poukazem na </w:t>
      </w:r>
      <w:r w:rsidRPr="00C24D02">
        <w:rPr>
          <w:rFonts w:asciiTheme="minorHAnsi" w:hAnsiTheme="minorHAnsi" w:cstheme="minorHAnsi"/>
          <w:b/>
          <w:bCs/>
        </w:rPr>
        <w:t>češtinu jako jazyk publikace</w:t>
      </w:r>
      <w:r w:rsidRPr="00C24D02">
        <w:rPr>
          <w:rFonts w:asciiTheme="minorHAnsi" w:hAnsiTheme="minorHAnsi" w:cstheme="minorHAnsi"/>
        </w:rPr>
        <w:t xml:space="preserve">, což je v přímém rozporu s metodickým doporučením, které výslovně uvádí, že čeština není překážkou pro hodnocení známkami „world-leading“ nebo „internationally excellent“ (viz M17+ Uživatelská příručka pro výzkumné organizace, členy Odborných panelů, externí hodnotitele a poskytovatele institucionální podpory VaVaI). Příkladů pro tuto vadnou argumentaci je celá řada: </w:t>
      </w:r>
    </w:p>
    <w:p w14:paraId="72E0DCAC" w14:textId="77777777" w:rsidR="00B8177D" w:rsidRPr="00C24D02" w:rsidRDefault="00B8177D" w:rsidP="00B8177D">
      <w:pPr>
        <w:numPr>
          <w:ilvl w:val="0"/>
          <w:numId w:val="8"/>
        </w:numPr>
        <w:spacing w:after="144" w:line="360" w:lineRule="auto"/>
        <w:jc w:val="both"/>
        <w:rPr>
          <w:rFonts w:asciiTheme="minorHAnsi" w:hAnsiTheme="minorHAnsi" w:cstheme="minorHAnsi"/>
        </w:rPr>
      </w:pPr>
      <w:r w:rsidRPr="00C24D02">
        <w:rPr>
          <w:rFonts w:asciiTheme="minorHAnsi" w:hAnsiTheme="minorHAnsi" w:cstheme="minorHAnsi"/>
          <w:i/>
          <w:iCs/>
        </w:rPr>
        <w:t xml:space="preserve">Výsledek 192509860, K presupozicím v češtině a jejich (ne)stálosti ve vztahu ke kontextu: </w:t>
      </w:r>
    </w:p>
    <w:p w14:paraId="377EB77C" w14:textId="77777777" w:rsidR="00B8177D" w:rsidRPr="00C24D02" w:rsidRDefault="00B8177D" w:rsidP="00B8177D">
      <w:pPr>
        <w:numPr>
          <w:ilvl w:val="0"/>
          <w:numId w:val="9"/>
        </w:numPr>
        <w:spacing w:after="144" w:line="360" w:lineRule="auto"/>
        <w:jc w:val="both"/>
        <w:rPr>
          <w:rFonts w:asciiTheme="minorHAnsi" w:hAnsiTheme="minorHAnsi" w:cstheme="minorHAnsi"/>
        </w:rPr>
      </w:pPr>
      <w:r w:rsidRPr="00C24D02">
        <w:rPr>
          <w:rFonts w:asciiTheme="minorHAnsi" w:hAnsiTheme="minorHAnsi" w:cstheme="minorHAnsi"/>
        </w:rPr>
        <w:lastRenderedPageBreak/>
        <w:t xml:space="preserve">„Výsledek by si zasloužil být publikován v angličtině (už vzhledem k množství ilustračních příkladů z tohoto jazyka). Takto je z hlediska originality, významu a obtížnosti získání pouze národně uznatelný.“ </w:t>
      </w:r>
    </w:p>
    <w:p w14:paraId="1351D369" w14:textId="77777777" w:rsidR="00B8177D" w:rsidRPr="00C24D02" w:rsidRDefault="00B8177D" w:rsidP="00B8177D">
      <w:pPr>
        <w:numPr>
          <w:ilvl w:val="0"/>
          <w:numId w:val="9"/>
        </w:numPr>
        <w:spacing w:after="144" w:line="360" w:lineRule="auto"/>
        <w:jc w:val="both"/>
        <w:rPr>
          <w:rFonts w:asciiTheme="minorHAnsi" w:hAnsiTheme="minorHAnsi" w:cstheme="minorHAnsi"/>
        </w:rPr>
      </w:pPr>
      <w:r w:rsidRPr="00C24D02">
        <w:rPr>
          <w:rFonts w:asciiTheme="minorHAnsi" w:hAnsiTheme="minorHAnsi" w:cstheme="minorHAnsi"/>
        </w:rPr>
        <w:t xml:space="preserve">„Kniha by si zasloužila být publikována v angličtině, což by umožnilo její širší mezinárodní dopad. V současnosti jde pouze o národně uznatelný, ale kvalitní příspěvek.“ </w:t>
      </w:r>
    </w:p>
    <w:p w14:paraId="452821EF" w14:textId="77777777" w:rsidR="00B8177D" w:rsidRPr="00C24D02" w:rsidRDefault="00B8177D" w:rsidP="00B8177D">
      <w:pPr>
        <w:numPr>
          <w:ilvl w:val="0"/>
          <w:numId w:val="9"/>
        </w:numPr>
        <w:spacing w:after="144" w:line="360" w:lineRule="auto"/>
        <w:jc w:val="both"/>
        <w:rPr>
          <w:rFonts w:asciiTheme="minorHAnsi" w:hAnsiTheme="minorHAnsi" w:cstheme="minorHAnsi"/>
        </w:rPr>
      </w:pPr>
      <w:r w:rsidRPr="00C24D02">
        <w:rPr>
          <w:rFonts w:asciiTheme="minorHAnsi" w:hAnsiTheme="minorHAnsi" w:cstheme="minorHAnsi"/>
        </w:rPr>
        <w:t xml:space="preserve">„Tento výstup se dá určitě považovat co do své kvality za národně uznatelný. Mezinárodně uznávaným se může stát po jistém čase, částečně tomu brání fakt, že je psán česky.“ </w:t>
      </w:r>
    </w:p>
    <w:p w14:paraId="2FAAAFE8" w14:textId="77777777" w:rsidR="00B8177D" w:rsidRPr="00C24D02" w:rsidRDefault="00B8177D" w:rsidP="00B8177D">
      <w:pPr>
        <w:numPr>
          <w:ilvl w:val="0"/>
          <w:numId w:val="8"/>
        </w:numPr>
        <w:spacing w:after="144" w:line="360" w:lineRule="auto"/>
        <w:jc w:val="both"/>
        <w:rPr>
          <w:rFonts w:asciiTheme="minorHAnsi" w:hAnsiTheme="minorHAnsi" w:cstheme="minorHAnsi"/>
        </w:rPr>
      </w:pPr>
      <w:r w:rsidRPr="00C24D02">
        <w:rPr>
          <w:rFonts w:asciiTheme="minorHAnsi" w:hAnsiTheme="minorHAnsi" w:cstheme="minorHAnsi"/>
          <w:b/>
          <w:bCs/>
        </w:rPr>
        <w:t>2) Námitky vůči hodnocení konkrétních výsledků</w:t>
      </w:r>
    </w:p>
    <w:p w14:paraId="422B2834"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Výsledek 192509860 (K presupozicím v češtině a jejich (ne)stálosti ve vztahu ke kontextu)</w:t>
      </w:r>
    </w:p>
    <w:p w14:paraId="0CB23354" w14:textId="77777777" w:rsidR="00B8177D" w:rsidRPr="00C24D02" w:rsidRDefault="00B8177D" w:rsidP="00B8177D">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Jeden z hodnotitelů uvádí: „Je škoda, že [...] autor se nepokusil zpracovat běžně mluvené nebo psané texty (novinové, literární).“ Toto tvrzení je nepravdivé. Autor v knize analyzuje celkem 237 číslovaných příkladů, z toho 66 pochází z autentických textů, které jsou shromážděny v Českém národním korpusu, v synchronním korpusu SYN, verze 9 (v knize označené zkratkou SYNv9). Uvedený korpus obsahuje jak publicistické, tak literární texty. </w:t>
      </w:r>
    </w:p>
    <w:p w14:paraId="2B67C83A"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Jeden z hodnotitelů uvádí: „Je škoda, že [...] autor se nepokusil zpracovat běžně mluvené nebo psané texty (novinové, literární).“ Toto tvrzení je nepravdivé. Autor v knize analyzuje celkem 237 číslovaných příkladů, z toho 66 pochází z autentických textů, které jsou shromážděny v Českém národním korpusu, v synchronním korpusu SYN, verze 9 (v knize označené zkratkou SYNv9). Uvedený korpus obsahuje jak publicistické, tak literární texty. </w:t>
      </w:r>
    </w:p>
    <w:p w14:paraId="47792114"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 xml:space="preserve">Kritérium češtiny jako jazyk publikace. </w:t>
      </w:r>
    </w:p>
    <w:p w14:paraId="0CF6C519"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 xml:space="preserve">Čeština plně v souladu s metodikou hodnocení nemůže být důvodem ke snížení hodnotící známky. Pokud se výjimečně úvahy hodnotitele ubírají tímto nesprávným směrem, panelisté se snaží takový pohled eliminovat a konečné hodnocení korigují žádoucím směrem. </w:t>
      </w:r>
    </w:p>
    <w:p w14:paraId="71F418D6"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rPr>
        <w:t>Hodnotitelovo tvrzení o tom, že „autor se nepokusil zpracovat běžně mluvené nebo psané texty (novinové, literární),“ nebylo při výsledném hodnocení bráno v potaz. Bohužel podobná přehlédnutí souvisí se subjektivním elementem, který není při složitém systému hodnocení nikdy zcela předem vyloučit. O jeho eliminaci se snaží panelista při svém výsledném hodnocení.</w:t>
      </w:r>
    </w:p>
    <w:p w14:paraId="3C69B1E5" w14:textId="77777777" w:rsidR="00B8177D" w:rsidRPr="00C24D02" w:rsidRDefault="00B8177D" w:rsidP="00B8177D">
      <w:pPr>
        <w:spacing w:after="144" w:line="360" w:lineRule="auto"/>
        <w:jc w:val="both"/>
        <w:rPr>
          <w:rFonts w:asciiTheme="minorHAnsi" w:hAnsiTheme="minorHAnsi" w:cstheme="minorHAnsi"/>
        </w:rPr>
      </w:pPr>
      <w:r w:rsidRPr="00C24D02">
        <w:rPr>
          <w:rFonts w:asciiTheme="minorHAnsi" w:hAnsiTheme="minorHAnsi" w:cstheme="minorHAnsi"/>
          <w:b/>
          <w:u w:val="single"/>
        </w:rPr>
        <w:lastRenderedPageBreak/>
        <w:t xml:space="preserve">Vyjádření Odborného panelu: </w:t>
      </w:r>
      <w:r w:rsidRPr="00C24D02">
        <w:rPr>
          <w:rFonts w:asciiTheme="minorHAnsi" w:hAnsiTheme="minorHAnsi" w:cstheme="minorHAnsi"/>
        </w:rPr>
        <w:t>Panel zůstává u svého hodnocení známkou 4.</w:t>
      </w:r>
    </w:p>
    <w:p w14:paraId="3DDA6440" w14:textId="77777777" w:rsidR="00B8177D" w:rsidRPr="00C24D02" w:rsidRDefault="00B8177D" w:rsidP="00B8177D">
      <w:pPr>
        <w:spacing w:before="240" w:after="144" w:line="360" w:lineRule="auto"/>
        <w:jc w:val="both"/>
        <w:rPr>
          <w:rFonts w:asciiTheme="minorHAnsi" w:hAnsiTheme="minorHAnsi" w:cstheme="minorHAnsi"/>
          <w:b/>
          <w:bCs/>
          <w:u w:val="single"/>
        </w:rPr>
      </w:pPr>
      <w:r w:rsidRPr="00C24D02">
        <w:rPr>
          <w:rFonts w:asciiTheme="minorHAnsi" w:hAnsiTheme="minorHAnsi" w:cstheme="minorHAnsi"/>
          <w:b/>
          <w:bCs/>
          <w:u w:val="single"/>
        </w:rPr>
        <w:t xml:space="preserve">Vyjádření Sekce pro vědu, výzkum a inovace: </w:t>
      </w:r>
      <w:r w:rsidRPr="00C24D02">
        <w:rPr>
          <w:rFonts w:asciiTheme="minorHAnsi" w:hAnsiTheme="minorHAnsi" w:cstheme="minorHAnsi"/>
        </w:rPr>
        <w:t>bez vyjádření.</w:t>
      </w:r>
    </w:p>
    <w:p w14:paraId="7E44BEB7" w14:textId="77777777" w:rsidR="00B8177D" w:rsidRPr="00C24D02" w:rsidRDefault="00B8177D" w:rsidP="00B8177D">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 S politováním ale konstatuje, že v hodnoceních se objevuje jako jeden z argumentů snižující výsledek český jazyk jako jazyk publikace, což není v souladu s Metodikou. Nicméně, hodnocení přináší i další pádné argumenty, které definují kvalitu publikace a jsou v souladu s hodnocením stupněm 4.</w:t>
      </w:r>
    </w:p>
    <w:p w14:paraId="2E558005" w14:textId="77777777" w:rsidR="00B8177D" w:rsidRPr="00C24D02" w:rsidRDefault="00B8177D" w:rsidP="00B8177D">
      <w:pPr>
        <w:rPr>
          <w:rFonts w:asciiTheme="minorHAnsi" w:hAnsiTheme="minorHAnsi" w:cstheme="minorHAnsi"/>
        </w:rPr>
      </w:pPr>
    </w:p>
    <w:p w14:paraId="2F14F9AE" w14:textId="28D036AE" w:rsidR="00B8177D" w:rsidRPr="00C24D02" w:rsidRDefault="00B8177D">
      <w:pPr>
        <w:suppressAutoHyphens w:val="0"/>
        <w:spacing w:after="160" w:line="259" w:lineRule="auto"/>
        <w:rPr>
          <w:rFonts w:asciiTheme="minorHAnsi" w:hAnsiTheme="minorHAnsi" w:cstheme="minorHAnsi"/>
          <w:sz w:val="22"/>
          <w:szCs w:val="22"/>
        </w:rPr>
      </w:pPr>
      <w:r w:rsidRPr="00C24D02">
        <w:rPr>
          <w:rFonts w:asciiTheme="minorHAnsi" w:hAnsiTheme="minorHAnsi" w:cstheme="minorHAnsi"/>
          <w:sz w:val="22"/>
          <w:szCs w:val="22"/>
        </w:rPr>
        <w:br w:type="page"/>
      </w:r>
    </w:p>
    <w:p w14:paraId="41BA8238" w14:textId="26B4366B" w:rsidR="00317816" w:rsidRPr="00C24D02" w:rsidRDefault="00317816" w:rsidP="00704870">
      <w:pPr>
        <w:pStyle w:val="Nadpis1"/>
        <w:numPr>
          <w:ilvl w:val="0"/>
          <w:numId w:val="1"/>
        </w:numPr>
        <w:spacing w:before="480" w:after="480" w:line="360" w:lineRule="auto"/>
        <w:ind w:left="714" w:hanging="357"/>
        <w:rPr>
          <w:rFonts w:asciiTheme="minorHAnsi" w:hAnsiTheme="minorHAnsi" w:cstheme="minorHAnsi"/>
          <w:sz w:val="22"/>
          <w:szCs w:val="22"/>
        </w:rPr>
      </w:pPr>
      <w:bookmarkStart w:id="21" w:name="_Toc221799817"/>
      <w:r w:rsidRPr="00C24D02">
        <w:rPr>
          <w:rFonts w:asciiTheme="minorHAnsi" w:hAnsiTheme="minorHAnsi" w:cstheme="minorHAnsi"/>
          <w:sz w:val="22"/>
          <w:szCs w:val="22"/>
        </w:rPr>
        <w:lastRenderedPageBreak/>
        <w:t>Nedostatečný počet hodnocení</w:t>
      </w:r>
      <w:bookmarkEnd w:id="21"/>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34A8A28" w14:textId="77777777" w:rsidTr="003D1A59">
        <w:tc>
          <w:tcPr>
            <w:tcW w:w="2405" w:type="dxa"/>
          </w:tcPr>
          <w:p w14:paraId="2B2279F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4AE71A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Centrum výzkumu Řež</w:t>
            </w:r>
          </w:p>
        </w:tc>
      </w:tr>
      <w:tr w:rsidR="00317816" w:rsidRPr="00C24D02" w14:paraId="05100246" w14:textId="77777777" w:rsidTr="003D1A59">
        <w:tc>
          <w:tcPr>
            <w:tcW w:w="2405" w:type="dxa"/>
          </w:tcPr>
          <w:p w14:paraId="2DA2D16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A4786E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192434518</w:t>
            </w:r>
          </w:p>
        </w:tc>
      </w:tr>
      <w:tr w:rsidR="00317816" w:rsidRPr="00C24D02" w14:paraId="662C8D21" w14:textId="77777777" w:rsidTr="003D1A59">
        <w:trPr>
          <w:trHeight w:val="741"/>
        </w:trPr>
        <w:tc>
          <w:tcPr>
            <w:tcW w:w="2405" w:type="dxa"/>
          </w:tcPr>
          <w:p w14:paraId="5233F88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ED2C06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Koncepční návrh akumulační jednotky</w:t>
            </w:r>
          </w:p>
        </w:tc>
      </w:tr>
      <w:tr w:rsidR="00317816" w:rsidRPr="00C24D02" w14:paraId="22525EC3" w14:textId="77777777" w:rsidTr="003D1A59">
        <w:tc>
          <w:tcPr>
            <w:tcW w:w="2405" w:type="dxa"/>
          </w:tcPr>
          <w:p w14:paraId="562F170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7938B4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2.7.</w:t>
            </w:r>
          </w:p>
        </w:tc>
      </w:tr>
      <w:tr w:rsidR="00317816" w:rsidRPr="00C24D02" w14:paraId="03989F8A" w14:textId="77777777" w:rsidTr="003D1A59">
        <w:tc>
          <w:tcPr>
            <w:tcW w:w="2405" w:type="dxa"/>
          </w:tcPr>
          <w:p w14:paraId="4D0A150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16D4FA7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4791CEA0" w14:textId="77777777" w:rsidTr="003D1A59">
        <w:tc>
          <w:tcPr>
            <w:tcW w:w="2405" w:type="dxa"/>
          </w:tcPr>
          <w:p w14:paraId="112D267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29"/>
            </w:r>
            <w:r w:rsidRPr="00C24D02">
              <w:rPr>
                <w:rFonts w:asciiTheme="minorHAnsi" w:eastAsia="Calibri" w:hAnsiTheme="minorHAnsi" w:cstheme="minorHAnsi"/>
              </w:rPr>
              <w:t>)</w:t>
            </w:r>
          </w:p>
        </w:tc>
        <w:tc>
          <w:tcPr>
            <w:tcW w:w="6378" w:type="dxa"/>
          </w:tcPr>
          <w:p w14:paraId="0C2A231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2/5/-/</w:t>
            </w:r>
            <w:r w:rsidRPr="00C24D02">
              <w:rPr>
                <w:rFonts w:asciiTheme="minorHAnsi" w:eastAsia="Calibri" w:hAnsiTheme="minorHAnsi" w:cstheme="minorHAnsi"/>
                <w:b/>
                <w:bCs/>
              </w:rPr>
              <w:t>5</w:t>
            </w:r>
          </w:p>
        </w:tc>
      </w:tr>
      <w:tr w:rsidR="00317816" w:rsidRPr="00C24D02" w14:paraId="7B0DF216" w14:textId="77777777" w:rsidTr="003D1A59">
        <w:tc>
          <w:tcPr>
            <w:tcW w:w="2405" w:type="dxa"/>
          </w:tcPr>
          <w:p w14:paraId="3FB0A7B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71EFE47"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5.</w:t>
            </w:r>
          </w:p>
        </w:tc>
      </w:tr>
    </w:tbl>
    <w:p w14:paraId="610D1F6A" w14:textId="77777777" w:rsidR="00317816" w:rsidRPr="00C24D02" w:rsidRDefault="00317816" w:rsidP="00317816">
      <w:pPr>
        <w:spacing w:after="144" w:line="360" w:lineRule="auto"/>
        <w:rPr>
          <w:rFonts w:asciiTheme="minorHAnsi" w:hAnsiTheme="minorHAnsi" w:cstheme="minorHAnsi"/>
        </w:rPr>
      </w:pPr>
    </w:p>
    <w:p w14:paraId="4F7B153A"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Rozpor v hodnocení H1 a H2</w:t>
      </w:r>
    </w:p>
    <w:p w14:paraId="3FEA253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4A386D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Předložená zpráva obsahuje koncept vybrané akumulační technologie, předpokládané technické parametry a návrh zapojení a popis hlavních komponent systému. Zpráva byla zpracována na základě rozsáhlého výzkumu realizovaného v rámci projektu TAČR Národní centrum pro energetiku. V rámci výzkumu bylo porovnáno několik konceptů akumulačních systémů (soli, slitiny hliníku, kamenivo), z nichž některé byly testovány i experimentálně. Na základě tohoto poměrně rozsáhlého experimentálního programu byl vybrán pro realizaci koncept založený na roztavených solích, který je unikátní, jak bylo popsáno ve zdůvodnění výsledku. Předloženou zprávu jsme vybrali jako reprezentativní výstup daného projektu. Nemůžeme proto souhlasit s konstatováním Hodnotitele 2, že za výsledkem jsou jen stopy výzkumu, a tedy ani se stupněm hodnocení, protože předložený výsledek je výchozím dokumentem pro realizaci pilotní akumulační jednotky, tedy technologie, která bude mít v budoucnu zásadní přínos pro zajištění flexibility v rámci transformace teplárenského sektoru. </w:t>
      </w:r>
      <w:r w:rsidRPr="00C24D02">
        <w:rPr>
          <w:rFonts w:asciiTheme="minorHAnsi" w:hAnsiTheme="minorHAnsi" w:cstheme="minorHAnsi"/>
        </w:rPr>
        <w:lastRenderedPageBreak/>
        <w:t>Dovolujeme si i upozornit na významný rozdíl v hodnocení, kde jeden hodnotitel hodnotí stupněm 2 a citujeme „Předložený výsledek akumulační jednotky představuje výjimečně kvalitní výsledek s vysokým inovačním potenciálem a významným praktickým dopadem.“ a druhý hodnotitel stupněm 5, ke kterému se v závěru přiklonil Panelista Garant.</w:t>
      </w:r>
    </w:p>
    <w:p w14:paraId="60783B8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Je pravda, že oba hodnotitelé se shodují na vysokém společenském významu tématu ukládání energie. Nicméně z hlediska výzkumu lze nejvíce explicitní odkaz na experimentální práce najít na straně 11: „V roce 2022 byly provedeny podpůrné výzkumné činnosti za účelem předběžného ověření principu thermocline. Jedná se o provedení tepelných výpočetních analýz úložiště s kapacitou 150 MWh a vybíjecím výkonem 30 MW.“ a odkazují se na tento zdroj: (Filip, R., Halodová, P. a Melichar, T. Studie konceptu thermocline a experimentální hodnocení kameniva v prostředí solárních solí. místo neznámé: Centrum výzkumu Řež, 2022.)</w:t>
      </w:r>
    </w:p>
    <w:p w14:paraId="7F913D1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Autoři naopak předpokládají experimentální práce v budoucnu (viz str. 12: „V první fázi NCE II se předpokládá provedení experimentů v laboratorním měřítku za účelem ověření komponent a celého systému při různých provozních režimech.“)</w:t>
      </w:r>
    </w:p>
    <w:p w14:paraId="01E2071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I přes vyjádření původce výsledku, že „Na základě tohoto poměrně rozsáhlého experimentálního programu byl vybrán pro realizaci koncept…“, nelze z předloženého výsledku dovodit, jak rozsáhlý výzkum byl a v jakém smyslu je předložený výsledek sám o sobě nový. Stále tedy souhlasím s vyjádřením hodnotitele 2, že tento výstup nelze považovat za vysoce hodnotný výsledek výzkumu.</w:t>
      </w:r>
    </w:p>
    <w:p w14:paraId="57367530"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5F3A93FF" w14:textId="77777777" w:rsidR="00317816" w:rsidRPr="00C24D02" w:rsidRDefault="00317816" w:rsidP="00317816">
      <w:pPr>
        <w:spacing w:before="240" w:after="144" w:line="360" w:lineRule="auto"/>
        <w:jc w:val="both"/>
        <w:rPr>
          <w:rFonts w:asciiTheme="minorHAnsi" w:hAnsiTheme="minorHAnsi" w:cstheme="minorHAnsi"/>
          <w:b/>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p>
    <w:p w14:paraId="654C7B25"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rPr>
        <w:t>Při hodnocení je nutno postupovat dle oddílu 7.2.3 Rozhodování o výsledném zařazení výsledku na hodnoticí škále, písmene c) Postupu</w:t>
      </w:r>
      <w:r w:rsidRPr="00C24D02">
        <w:rPr>
          <w:rStyle w:val="Znakapoznpodarou"/>
          <w:rFonts w:asciiTheme="minorHAnsi" w:hAnsiTheme="minorHAnsi" w:cstheme="minorHAnsi"/>
        </w:rPr>
        <w:footnoteReference w:id="30"/>
      </w:r>
      <w:r w:rsidRPr="00C24D02">
        <w:rPr>
          <w:rFonts w:asciiTheme="minorHAnsi" w:hAnsiTheme="minorHAnsi" w:cstheme="minorHAnsi"/>
        </w:rPr>
        <w:t>, ve kterém je uvedeno: „</w:t>
      </w:r>
      <w:r w:rsidRPr="00C24D02">
        <w:rPr>
          <w:rFonts w:asciiTheme="minorHAnsi" w:hAnsiTheme="minorHAnsi" w:cstheme="minorHAnsi"/>
          <w:i/>
          <w:iCs/>
        </w:rPr>
        <w:t>V případě, kdy se zařazení výstupu oběma hodnotiteli liší o více než jeden kvalitativní stupeň (např. 2 vs. 4 nebo 1 vs. 3</w:t>
      </w:r>
      <w:r w:rsidRPr="00C24D02">
        <w:rPr>
          <w:rFonts w:asciiTheme="minorHAnsi" w:hAnsiTheme="minorHAnsi" w:cstheme="minorHAnsi"/>
          <w:i/>
          <w:iCs/>
          <w:u w:val="single"/>
        </w:rPr>
        <w:t>), může být zadáno</w:t>
      </w:r>
      <w:r w:rsidRPr="00C24D02">
        <w:rPr>
          <w:rFonts w:asciiTheme="minorHAnsi" w:hAnsiTheme="minorHAnsi" w:cstheme="minorHAnsi"/>
          <w:i/>
          <w:iCs/>
        </w:rPr>
        <w:t xml:space="preserve"> vypracování posudku třetímu hodnotiteli. Na základě získaných </w:t>
      </w:r>
      <w:r w:rsidRPr="00C24D02">
        <w:rPr>
          <w:rFonts w:asciiTheme="minorHAnsi" w:hAnsiTheme="minorHAnsi" w:cstheme="minorHAnsi"/>
          <w:i/>
          <w:iCs/>
        </w:rPr>
        <w:lastRenderedPageBreak/>
        <w:t>hodnocení se pak přikloní garant hodnocení vybraných výsledků standardně k jednomu z navržených hodnocení.“</w:t>
      </w:r>
    </w:p>
    <w:p w14:paraId="7493B24D" w14:textId="308F10AB"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ponecháním původního hodnocení, které bylo uděleno podle stávajících pravidel. Nesnižuje možný dopad výsledku, ale ztotožňuje se s názorem garanta a panelu, že se jedná o neukončený výzkum, u kterého není jasný význam a originalita.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765D73C" w14:textId="77777777" w:rsidTr="003D1A59">
        <w:tc>
          <w:tcPr>
            <w:tcW w:w="2405" w:type="dxa"/>
          </w:tcPr>
          <w:p w14:paraId="612C3AE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8DD287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Masarykova univerzita</w:t>
            </w:r>
          </w:p>
        </w:tc>
      </w:tr>
      <w:tr w:rsidR="00317816" w:rsidRPr="00C24D02" w14:paraId="27C3ABC4" w14:textId="77777777" w:rsidTr="003D1A59">
        <w:tc>
          <w:tcPr>
            <w:tcW w:w="2405" w:type="dxa"/>
          </w:tcPr>
          <w:p w14:paraId="78FF049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A6109D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192308418</w:t>
            </w:r>
          </w:p>
        </w:tc>
      </w:tr>
      <w:tr w:rsidR="00317816" w:rsidRPr="00C24D02" w14:paraId="4FD3A3DC" w14:textId="77777777" w:rsidTr="003D1A59">
        <w:trPr>
          <w:trHeight w:val="741"/>
        </w:trPr>
        <w:tc>
          <w:tcPr>
            <w:tcW w:w="2405" w:type="dxa"/>
          </w:tcPr>
          <w:p w14:paraId="18A1413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D4EB71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Podpora školní adaptace dětí-cizinců : Náhled do české a norské praxe</w:t>
            </w:r>
          </w:p>
        </w:tc>
      </w:tr>
      <w:tr w:rsidR="00317816" w:rsidRPr="00C24D02" w14:paraId="0806D4BA" w14:textId="77777777" w:rsidTr="003D1A59">
        <w:tc>
          <w:tcPr>
            <w:tcW w:w="2405" w:type="dxa"/>
          </w:tcPr>
          <w:p w14:paraId="0541FDF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4FB9052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5.3.</w:t>
            </w:r>
          </w:p>
        </w:tc>
      </w:tr>
      <w:tr w:rsidR="00317816" w:rsidRPr="00C24D02" w14:paraId="77F1A300" w14:textId="77777777" w:rsidTr="003D1A59">
        <w:tc>
          <w:tcPr>
            <w:tcW w:w="2405" w:type="dxa"/>
          </w:tcPr>
          <w:p w14:paraId="091BA23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42AC5C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68836C0B" w14:textId="77777777" w:rsidTr="003D1A59">
        <w:tc>
          <w:tcPr>
            <w:tcW w:w="2405" w:type="dxa"/>
          </w:tcPr>
          <w:p w14:paraId="0C073D0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31"/>
            </w:r>
            <w:r w:rsidRPr="00C24D02">
              <w:rPr>
                <w:rFonts w:asciiTheme="minorHAnsi" w:eastAsia="Calibri" w:hAnsiTheme="minorHAnsi" w:cstheme="minorHAnsi"/>
              </w:rPr>
              <w:t>)</w:t>
            </w:r>
          </w:p>
        </w:tc>
        <w:tc>
          <w:tcPr>
            <w:tcW w:w="6378" w:type="dxa"/>
          </w:tcPr>
          <w:p w14:paraId="0CBDCD8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2/4/-/3</w:t>
            </w:r>
          </w:p>
        </w:tc>
      </w:tr>
      <w:tr w:rsidR="00317816" w:rsidRPr="00C24D02" w14:paraId="1BB57A38" w14:textId="77777777" w:rsidTr="003D1A59">
        <w:tc>
          <w:tcPr>
            <w:tcW w:w="2405" w:type="dxa"/>
          </w:tcPr>
          <w:p w14:paraId="14D4C95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23C3B23"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1C1E7B48" w14:textId="77777777" w:rsidR="00317816" w:rsidRPr="00C24D02" w:rsidRDefault="00317816" w:rsidP="00317816">
      <w:pPr>
        <w:spacing w:after="144" w:line="360" w:lineRule="auto"/>
        <w:rPr>
          <w:rFonts w:asciiTheme="minorHAnsi" w:hAnsiTheme="minorHAnsi" w:cstheme="minorHAnsi"/>
        </w:rPr>
      </w:pPr>
    </w:p>
    <w:p w14:paraId="586C30D4"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Nedostatečné zdůvodnění garanta</w:t>
      </w:r>
    </w:p>
    <w:p w14:paraId="499A0D4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5FC5BF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Na následujících příkladech chceme ukázat, že práce hodnotitelů/panelistů je v mnoha případech odbývána. Máme samozřejmě pochopení k velkému pracovnímu vytížení, ale pokud nebude tato práce zodpovědně prováděna, Modul 1 selhává a ztrácí respekt. Víme, že pro edukaci hodnotitelů bylo uděláno mnohé a Modul 1 se zásadním způsobem postupně zlepšil, ale věříme, že i přesto musí být práce hodnotitelů monitorována a v případě systematického selhávání nastaveny nějaké mechanismy nápravy. </w:t>
      </w:r>
    </w:p>
    <w:p w14:paraId="2D60361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Hodnotitel 1 dal známku 2, Hodnotitel 2 dal známku 4. Panelista na závěr rozhodl o udělení známky 3 na základě výše uvedeného zdůvodnění. Domníváme se, že takovéto zdůvodnění by </w:t>
      </w:r>
      <w:r w:rsidRPr="00C24D02">
        <w:rPr>
          <w:rFonts w:asciiTheme="minorHAnsi" w:hAnsiTheme="minorHAnsi" w:cstheme="minorHAnsi"/>
        </w:rPr>
        <w:lastRenderedPageBreak/>
        <w:t>mělo být v Modulu 1 neakceptovatelné. Panelista navrhl známku, o které lze odhadovat, že je průměrem známek hodnotitelů, zdůvodnění neuvedl a redukoval komentář na generickou definici známky 3. Ať již by se přiklonil k známce 2, nebo 4, pokládali bychom to za správnější, případně by hodnotitelé měli vždy svá rozhodnutí zdůvodnit.</w:t>
      </w:r>
    </w:p>
    <w:p w14:paraId="5F09099E" w14:textId="77777777" w:rsidR="00317816" w:rsidRPr="00C24D02" w:rsidRDefault="00317816" w:rsidP="00317816">
      <w:pPr>
        <w:suppressAutoHyphens w:val="0"/>
        <w:spacing w:after="144" w:line="360" w:lineRule="auto"/>
        <w:jc w:val="both"/>
        <w:rPr>
          <w:rFonts w:asciiTheme="minorHAnsi" w:eastAsia="Calibri" w:hAnsiTheme="minorHAnsi" w:cstheme="minorHAnsi"/>
        </w:rPr>
      </w:pPr>
      <w:r w:rsidRPr="00C24D02">
        <w:rPr>
          <w:rFonts w:asciiTheme="minorHAnsi" w:eastAsia="Calibri" w:hAnsiTheme="minorHAnsi" w:cstheme="minorHAnsi"/>
          <w:u w:val="single"/>
        </w:rPr>
        <w:t>Stanovisko garanta</w:t>
      </w:r>
      <w:r w:rsidRPr="00C24D02">
        <w:rPr>
          <w:rFonts w:asciiTheme="minorHAnsi" w:eastAsia="Calibri" w:hAnsiTheme="minorHAnsi" w:cstheme="minorHAnsi"/>
        </w:rPr>
        <w:t>: Hodnotitel se v detailu přiklání k pozitivům zmíněným v prvním posudku, ovšem s tím, že – v duchu druhého posudku – posun v poznání v globálním smyslu je spíše menší. Monografie se jeví mít primární dopad směrem k českému terénu. To není chyba, ale z globálního hlediska čtenář orientovaný v problematice výsledky nebude příliš překvapen. Hodnotitel se rovněž přiklání ke kritice zmíněné v prvním posudku (absence hlasu žáků a rodičů). Celková známka 3 dle hodnotitele odpovídá – jde o solidní práci, která je mezinárodně uznatelná, avšak coby dílčí, „inkrementální“ rozšíření poznatků.</w:t>
      </w:r>
    </w:p>
    <w:p w14:paraId="78C2E1BD"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rPr>
      </w:pPr>
      <w:r w:rsidRPr="00C24D02">
        <w:rPr>
          <w:rFonts w:asciiTheme="minorHAnsi" w:eastAsia="Calibri" w:hAnsiTheme="minorHAnsi" w:cstheme="minorHAnsi"/>
          <w:b/>
          <w:u w:val="single"/>
        </w:rPr>
        <w:t xml:space="preserve">Vyjádření Odborného panelu: </w:t>
      </w:r>
      <w:r w:rsidRPr="00C24D02">
        <w:rPr>
          <w:rFonts w:asciiTheme="minorHAnsi" w:eastAsia="Calibri" w:hAnsiTheme="minorHAnsi" w:cstheme="minorHAnsi"/>
        </w:rPr>
        <w:t>Panel navrhuje námitce nevyhovět a ponechat původní hodnocení stupněm 3.</w:t>
      </w:r>
    </w:p>
    <w:p w14:paraId="675B0CB7"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Při hodnocení je nutno postupovat dle oddílu 7.2.3 Rozhodování o výsledném zařazení výsledku na hodnoticí škále, písmene c) a d) Postupu</w:t>
      </w:r>
      <w:r w:rsidRPr="00C24D02">
        <w:rPr>
          <w:rStyle w:val="Znakapoznpodarou"/>
          <w:rFonts w:asciiTheme="minorHAnsi" w:eastAsiaTheme="majorEastAsia" w:hAnsiTheme="minorHAnsi" w:cstheme="minorHAnsi"/>
        </w:rPr>
        <w:footnoteReference w:id="32"/>
      </w:r>
      <w:r w:rsidRPr="00C24D02">
        <w:rPr>
          <w:rFonts w:asciiTheme="minorHAnsi" w:hAnsiTheme="minorHAnsi" w:cstheme="minorHAnsi"/>
        </w:rPr>
        <w:t xml:space="preserve">, ve kterém je uvedeno: </w:t>
      </w:r>
    </w:p>
    <w:p w14:paraId="2B03A877" w14:textId="77777777" w:rsidR="00317816" w:rsidRPr="00C24D02" w:rsidRDefault="00317816" w:rsidP="00317816">
      <w:pPr>
        <w:spacing w:before="240" w:after="144" w:line="360" w:lineRule="auto"/>
        <w:jc w:val="both"/>
        <w:rPr>
          <w:rFonts w:asciiTheme="minorHAnsi" w:hAnsiTheme="minorHAnsi" w:cstheme="minorHAnsi"/>
          <w:i/>
          <w:iCs/>
        </w:rPr>
      </w:pPr>
      <w:r w:rsidRPr="00C24D02">
        <w:rPr>
          <w:rFonts w:asciiTheme="minorHAnsi" w:hAnsiTheme="minorHAnsi" w:cstheme="minorHAnsi"/>
          <w:i/>
          <w:iCs/>
        </w:rPr>
        <w:t>„c. V případě, kdy se zařazení výstupu oběma hodnotiteli liší o více než jeden kvalitativní stupeň (např. 2 vs. 4 nebo 1 vs. 3), může být zadáno vypracování posudku třetímu hodnotiteli. Na základě získaných hodnocení se pak přikloní garant hodnocení vybraných výsledků standardně k jednomu z navržených hodnocení. Pokud garant bibliometrické analýzy s navrženým hodnocením nesouhlasí, postupuje se podle bodu d).</w:t>
      </w:r>
    </w:p>
    <w:p w14:paraId="4662AADB" w14:textId="77777777" w:rsidR="00317816" w:rsidRPr="00C24D02" w:rsidRDefault="00317816" w:rsidP="00317816">
      <w:pPr>
        <w:spacing w:before="240" w:after="144" w:line="360" w:lineRule="auto"/>
        <w:jc w:val="both"/>
        <w:rPr>
          <w:rFonts w:asciiTheme="minorHAnsi" w:hAnsiTheme="minorHAnsi" w:cstheme="minorHAnsi"/>
          <w:i/>
          <w:iCs/>
        </w:rPr>
      </w:pPr>
      <w:r w:rsidRPr="00C24D02">
        <w:rPr>
          <w:rFonts w:asciiTheme="minorHAnsi" w:hAnsiTheme="minorHAnsi" w:cstheme="minorHAnsi"/>
          <w:i/>
          <w:iCs/>
        </w:rPr>
        <w:t>d. Garant hodnocení vybraných výsledků má právo udělit výsledné hodnocení odlišující se o jeden stupeň od rozsahu, který je dán hodnotiteli. Toto rozhodnutí musí zdůvodnit. Pokud garant bibliometrické analýzy s navržením hodnocením nesouhlasí, může navrhnout alternativu….“</w:t>
      </w:r>
    </w:p>
    <w:p w14:paraId="341727D4" w14:textId="7B7F4157" w:rsidR="00317816" w:rsidRPr="003C778F"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lastRenderedPageBreak/>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vyjádřením Odborného panelu námitce nevyhovět a ponecháním původního hodnocení.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C500EEB" w14:textId="77777777" w:rsidTr="003D1A59">
        <w:tc>
          <w:tcPr>
            <w:tcW w:w="2405" w:type="dxa"/>
          </w:tcPr>
          <w:p w14:paraId="775FCDE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316AE14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Univerzita Karlova v Praze</w:t>
            </w:r>
          </w:p>
        </w:tc>
      </w:tr>
      <w:tr w:rsidR="00317816" w:rsidRPr="00C24D02" w14:paraId="4CB88570" w14:textId="77777777" w:rsidTr="003D1A59">
        <w:tc>
          <w:tcPr>
            <w:tcW w:w="2405" w:type="dxa"/>
          </w:tcPr>
          <w:p w14:paraId="56592FD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368CA59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192544402</w:t>
            </w:r>
          </w:p>
        </w:tc>
      </w:tr>
      <w:tr w:rsidR="00317816" w:rsidRPr="00C24D02" w14:paraId="3696A6FA" w14:textId="77777777" w:rsidTr="003D1A59">
        <w:trPr>
          <w:trHeight w:val="741"/>
        </w:trPr>
        <w:tc>
          <w:tcPr>
            <w:tcW w:w="2405" w:type="dxa"/>
          </w:tcPr>
          <w:p w14:paraId="5DE40AC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07D6BA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International Law from the Perspective of the Visegrád Countries.</w:t>
            </w:r>
          </w:p>
        </w:tc>
      </w:tr>
      <w:tr w:rsidR="00317816" w:rsidRPr="00C24D02" w14:paraId="28D291FC" w14:textId="77777777" w:rsidTr="003D1A59">
        <w:tc>
          <w:tcPr>
            <w:tcW w:w="2405" w:type="dxa"/>
          </w:tcPr>
          <w:p w14:paraId="4C90941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18E3D4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5.5.</w:t>
            </w:r>
          </w:p>
        </w:tc>
      </w:tr>
      <w:tr w:rsidR="00317816" w:rsidRPr="00C24D02" w14:paraId="534E19A7" w14:textId="77777777" w:rsidTr="003D1A59">
        <w:tc>
          <w:tcPr>
            <w:tcW w:w="2405" w:type="dxa"/>
          </w:tcPr>
          <w:p w14:paraId="3137305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D4536A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4F73934A" w14:textId="77777777" w:rsidTr="003D1A59">
        <w:tc>
          <w:tcPr>
            <w:tcW w:w="2405" w:type="dxa"/>
          </w:tcPr>
          <w:p w14:paraId="763B00F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33"/>
            </w:r>
            <w:r w:rsidRPr="00C24D02">
              <w:rPr>
                <w:rFonts w:asciiTheme="minorHAnsi" w:eastAsia="Calibri" w:hAnsiTheme="minorHAnsi" w:cstheme="minorHAnsi"/>
              </w:rPr>
              <w:t>)</w:t>
            </w:r>
          </w:p>
        </w:tc>
        <w:tc>
          <w:tcPr>
            <w:tcW w:w="6378" w:type="dxa"/>
          </w:tcPr>
          <w:p w14:paraId="50A11A1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2/4/-/4</w:t>
            </w:r>
          </w:p>
        </w:tc>
      </w:tr>
      <w:tr w:rsidR="00317816" w:rsidRPr="00C24D02" w14:paraId="4703033F" w14:textId="77777777" w:rsidTr="003D1A59">
        <w:tc>
          <w:tcPr>
            <w:tcW w:w="2405" w:type="dxa"/>
          </w:tcPr>
          <w:p w14:paraId="1FE6660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64E52D2D"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59A050F1" w14:textId="77777777" w:rsidR="00317816" w:rsidRPr="00C24D02" w:rsidRDefault="00317816" w:rsidP="00317816">
      <w:pPr>
        <w:spacing w:after="144" w:line="360" w:lineRule="auto"/>
        <w:rPr>
          <w:rFonts w:asciiTheme="minorHAnsi" w:hAnsiTheme="minorHAnsi" w:cstheme="minorHAnsi"/>
        </w:rPr>
      </w:pPr>
    </w:p>
    <w:p w14:paraId="764E0B35"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Rozdílné posudky</w:t>
      </w:r>
    </w:p>
    <w:p w14:paraId="2B10F26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43046E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Seznámil jsem se s bodovým i slovním hodnocením svého příspěvku v Oxford Handbook of International Law in Europe. Musím konstatovat velmi rozdílné a nevyvážené hodnocení, zejména při srovnání prvního a druhého hodnotitele. Zatímco první celkem objektivně vyváženě hodnotí kapitolu jako velmi zajímavý a originální výsledek (Hodnocení 2), druhý hodnotitel podal Hodnocení 4 s odůvodněním, které je sporné a vnitřně kontradiktorní. Za prvé, vyčítá mi, že z přehledu mezinárodního práva z perspektivy zemí Visegrádské skupiny (V4) vypadlo Polsko jako nejvýznamnější člen. Tady lze mít pochybnosti o pečlivém čtení, protože na začátku kapitoly to je vysvětlené tím, že editoři svěřili Polsko jinému autorovi (do jiné kapitoly). Za druhé, posuzovatel na jedné straně uvádí, že "chapters in Oxford Handbooks usually descriptively present the current state of art", ale zároveň vyčítá příspěvku popisnost. Za třetí, posuzovatel vyčítá malé úsilí o srovnání nebo syntetizaci obsažených informací. Fakt </w:t>
      </w:r>
      <w:r w:rsidRPr="00C24D02">
        <w:rPr>
          <w:rFonts w:asciiTheme="minorHAnsi" w:hAnsiTheme="minorHAnsi" w:cstheme="minorHAnsi"/>
        </w:rPr>
        <w:lastRenderedPageBreak/>
        <w:t xml:space="preserve">je, že ač stručně, což je dáno omezeným rozsahem publikace a nutností krátit text, tam hlavní témata a společné problémy mezinárodního práva a jeho nauky v zemích V4 (např. důraz suverenitu, která v důsledku historického vývoje není pro tyto státy samozřejmostí) uvedena jsou. </w:t>
      </w:r>
    </w:p>
    <w:p w14:paraId="0B1C5AC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Za této situace by zřejmě bylo na místě, aby zasáhl člen panelu a místo přijetí horší známky navrhl třeba zprůměrování (3). </w:t>
      </w:r>
    </w:p>
    <w:p w14:paraId="59D2E50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Nad rámec výše uvedené námitky uvádím, že publikaci v prestižní Oxford Handbook (OUP) samozřejmě předcházelo důkladné čtení a posouzení rukopisu dvěma recenzenty, jejich připomínky (včetně doplnění či krácení textu) jsem zohlednil. V případě tohoto typu publikací navíc výběr tématu a formy zpracování není plně v rukou autora, ale je třeba respektovat i pokyny editorů a nakladatelství. V kapitolách věnovaných přístupům různých skupin států Evropy je účelem právě podat co nejvíce srozumitelných informací pro čtenáře mimo zemí V4 (resp. Česka, Slovenska a Maďarska).</w:t>
      </w:r>
    </w:p>
    <w:p w14:paraId="0AA9E10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Výsledek je kapitolou v knize a byl hodnocen z pohledu kritéria přínosu k poznání. Tímto rámcem je determinováno hodnocení výsledku.</w:t>
      </w:r>
    </w:p>
    <w:p w14:paraId="322A204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Žánr Oxford Handbooks je specifický tím, že jeho cílem není přinášet zásadní průlomové dosud nepublikované vědecké poznatky, nýbrž přinést strukturované shrnutí podstatných informací pro někoho, kdo se chce v tématu zorientovat.</w:t>
      </w:r>
    </w:p>
    <w:p w14:paraId="15245A9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Z hlediska knihy jako takové je jistě jedna její kapitola pouze částí většího celku a nedává smysl, aby vše, co je v knize obsaženo na jiném místě, se znovu opakovalo v konkrétní kapitole. Rozhodne-li se ovšem výzkumná organizace předložit k hodnocení kapitolu z knihy, musí právě tato kapitola představovat přínos k poznání, neboť právě tato kapitola bude hodnocena.</w:t>
      </w:r>
    </w:p>
    <w:p w14:paraId="2EB4522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Posudek druhého hodnotitele, který hodnotil výsledek známkou 4, se mi nejeví jako vnitřně rozporný. Autor předkládá vůči posudku tři výhrady. </w:t>
      </w:r>
    </w:p>
    <w:p w14:paraId="56C0B9A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Zaprvé posudek autorovi vytýká, že v kapitole nazvané „International Law from the Perspective of the Visegrád Countries“ se nepojednává o Polsku a je zde pouze uvedeno, že není do kapitoly zahrnuto. Autor to nezpochybňuje, dodává ovšem, že v knize byla Polsku věnována samostatná kapitola, což je v úvodu hodnocené kapitoly uvedeno. V tomto směru se mi jeví, že hodnotitel a autor nejsou ve sporu, že kapitola o Polsku nepojednává a že to je v </w:t>
      </w:r>
      <w:r w:rsidRPr="00C24D02">
        <w:rPr>
          <w:rFonts w:asciiTheme="minorHAnsi" w:hAnsiTheme="minorHAnsi" w:cstheme="minorHAnsi"/>
        </w:rPr>
        <w:lastRenderedPageBreak/>
        <w:t>ní zmíněno. Pro hodnocení se mi zdá zásadní, že přínos k poznání je tím omezen, neboť ze čtyř států V4 je kapitola o třech státech a (jak uvádím v hodnocení panelisty) i zmínek o Maďarsku je v textu spíše méně.</w:t>
      </w:r>
    </w:p>
    <w:p w14:paraId="3A9FDFF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Zadruhé autor vytýká posudku, že na jedné straně uvádí, že kapitoly v Oxford Handbooks obvykle popisují „state of the art“ a zároveň vytýká autorovi popisnost kapitoly. V tom nevidím rozpor. Kapitola je popisná, což odpovídá žánru. Jde tedy o dobrou kapitolu do Oxford Handbook, zároveň se tím ale omezuje přínos k poznání, který může mít.</w:t>
      </w:r>
    </w:p>
    <w:p w14:paraId="225FD07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Zatřetí posudek autorovi vytýká, že text se příliš nevěnuje srovnávání a syntetizaci předkládaných informací. Na to autor reaguje, že byl omezen rozsahem a nutností krátit text. Je pochopitelné, že v knize obsahující řadu kapitol různých autorů je třeba dodržet to, aby kapitoly byly srovnatelně dlouhé, což mohlo autorovi znemožnit podrobnější analýzu. Hodnoceno ale mohlo být jen to, co v textu nakonec zůstalo.</w:t>
      </w:r>
    </w:p>
    <w:p w14:paraId="50CD0E8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Pro autora je jistě významným úspěchem, že publikoval kapitolu v Oxford Handbook a nezpochybňuji, že s tím bylo spojeno nemalé úsilí při tvorbě vlastního rukopisu a následném vypořádávání připomínek editorů. Předmětem hodnocení však je přínos k poznání, a zde musím zopakovat to, co je uvedeno v hodnocení panelisty, tedy že text nesleduje explicitně formulovaný výzkumný problém, předkládá primárně faktografické informace, a proto jde o výsledek z hlediska originality, významu a obtížnosti získání národně uznatelný.</w:t>
      </w:r>
    </w:p>
    <w:p w14:paraId="65B2BB0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Druhý posudek byl příznivější, jeho argumenty však nepřevážily právě uvedené. Úkolem panelisty není průměrovat známky z posudků hodnotitelů, nýbrž udělit hodnocení na základě vlastního seznámení s výsledkem a posudky hodnotitelů. Mám za to, že udělené hodnocení je odpovídající, a proto nedoporučuji vyhovět námitce.</w:t>
      </w:r>
    </w:p>
    <w:p w14:paraId="14BD52DC"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3E20838F"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Při hodnocení je nutno postupovat dle oddílu 7.2.3. Rozhodování o výsledném zařazení výsledku na hodnoticí škále, písmene c), Postupu</w:t>
      </w:r>
      <w:r w:rsidRPr="00C24D02">
        <w:rPr>
          <w:rStyle w:val="Znakapoznpodarou"/>
          <w:rFonts w:asciiTheme="minorHAnsi" w:eastAsiaTheme="majorEastAsia" w:hAnsiTheme="minorHAnsi" w:cstheme="minorHAnsi"/>
        </w:rPr>
        <w:footnoteReference w:id="34"/>
      </w:r>
      <w:r w:rsidRPr="00C24D02">
        <w:rPr>
          <w:rFonts w:asciiTheme="minorHAnsi" w:hAnsiTheme="minorHAnsi" w:cstheme="minorHAnsi"/>
        </w:rPr>
        <w:t>, ve kterém je uvedeno: „</w:t>
      </w:r>
      <w:r w:rsidRPr="00C24D02">
        <w:rPr>
          <w:rFonts w:asciiTheme="minorHAnsi" w:hAnsiTheme="minorHAnsi" w:cstheme="minorHAnsi"/>
          <w:i/>
          <w:iCs/>
        </w:rPr>
        <w:t xml:space="preserve">V případě, kdy se zařazení výstupu oběma hodnotiteli liší o více než </w:t>
      </w:r>
      <w:r w:rsidRPr="00C24D02">
        <w:rPr>
          <w:rFonts w:asciiTheme="minorHAnsi" w:hAnsiTheme="minorHAnsi" w:cstheme="minorHAnsi"/>
          <w:i/>
          <w:iCs/>
        </w:rPr>
        <w:lastRenderedPageBreak/>
        <w:t>jeden kvalitativní stupeň (např. 2 vs. 4 nebo 1 vs. 3</w:t>
      </w:r>
      <w:r w:rsidRPr="00C24D02">
        <w:rPr>
          <w:rFonts w:asciiTheme="minorHAnsi" w:hAnsiTheme="minorHAnsi" w:cstheme="minorHAnsi"/>
          <w:i/>
          <w:iCs/>
          <w:u w:val="single"/>
        </w:rPr>
        <w:t>), může být zadáno</w:t>
      </w:r>
      <w:r w:rsidRPr="00C24D02">
        <w:rPr>
          <w:rFonts w:asciiTheme="minorHAnsi" w:hAnsiTheme="minorHAnsi" w:cstheme="minorHAnsi"/>
          <w:i/>
          <w:iCs/>
        </w:rPr>
        <w:t xml:space="preserve"> vypracování posudku třetímu hodnotiteli. Na základě získaných hodnocení se pak přikloní garant hodnocení vybraných výsledků standardně k jednomu z navržených hodnocení. Pokud garant bibliometrické analýzy s navrženým hodnocením nesouhlasí, postupuje se podle bodu d).“</w:t>
      </w:r>
    </w:p>
    <w:p w14:paraId="1313354C" w14:textId="5BFAA2E9" w:rsidR="00317816" w:rsidRPr="003C778F"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vyjádřením Odborného panelu námitce nevyhovět a ponecháním původního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E9A20F8" w14:textId="77777777" w:rsidTr="003D1A59">
        <w:tc>
          <w:tcPr>
            <w:tcW w:w="2405" w:type="dxa"/>
          </w:tcPr>
          <w:p w14:paraId="62F06CE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3C8F401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Univerzita Karlova v Praze</w:t>
            </w:r>
          </w:p>
        </w:tc>
      </w:tr>
      <w:tr w:rsidR="00317816" w:rsidRPr="00C24D02" w14:paraId="625AB66B" w14:textId="77777777" w:rsidTr="003D1A59">
        <w:tc>
          <w:tcPr>
            <w:tcW w:w="2405" w:type="dxa"/>
          </w:tcPr>
          <w:p w14:paraId="59EFC4E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E61A09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192544495</w:t>
            </w:r>
          </w:p>
        </w:tc>
      </w:tr>
      <w:tr w:rsidR="00317816" w:rsidRPr="00C24D02" w14:paraId="27CF3C1A" w14:textId="77777777" w:rsidTr="003D1A59">
        <w:trPr>
          <w:trHeight w:val="741"/>
        </w:trPr>
        <w:tc>
          <w:tcPr>
            <w:tcW w:w="2405" w:type="dxa"/>
          </w:tcPr>
          <w:p w14:paraId="4D15007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39C0782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Unfair terms in banking and financial contracts</w:t>
            </w:r>
          </w:p>
        </w:tc>
      </w:tr>
      <w:tr w:rsidR="00317816" w:rsidRPr="00C24D02" w14:paraId="7ED47CC6" w14:textId="77777777" w:rsidTr="003D1A59">
        <w:tc>
          <w:tcPr>
            <w:tcW w:w="2405" w:type="dxa"/>
          </w:tcPr>
          <w:p w14:paraId="54417E8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FA0972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5.5.</w:t>
            </w:r>
          </w:p>
        </w:tc>
      </w:tr>
      <w:tr w:rsidR="00317816" w:rsidRPr="00C24D02" w14:paraId="0F525F42" w14:textId="77777777" w:rsidTr="003D1A59">
        <w:tc>
          <w:tcPr>
            <w:tcW w:w="2405" w:type="dxa"/>
          </w:tcPr>
          <w:p w14:paraId="38C3B9A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7B53F8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1D8075FB" w14:textId="77777777" w:rsidTr="003D1A59">
        <w:tc>
          <w:tcPr>
            <w:tcW w:w="2405" w:type="dxa"/>
          </w:tcPr>
          <w:p w14:paraId="661D123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35"/>
            </w:r>
            <w:r w:rsidRPr="00C24D02">
              <w:rPr>
                <w:rFonts w:asciiTheme="minorHAnsi" w:eastAsia="Calibri" w:hAnsiTheme="minorHAnsi" w:cstheme="minorHAnsi"/>
              </w:rPr>
              <w:t>)</w:t>
            </w:r>
          </w:p>
        </w:tc>
        <w:tc>
          <w:tcPr>
            <w:tcW w:w="6378" w:type="dxa"/>
          </w:tcPr>
          <w:p w14:paraId="0450740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4/2/-/4</w:t>
            </w:r>
          </w:p>
        </w:tc>
      </w:tr>
      <w:tr w:rsidR="00317816" w:rsidRPr="00C24D02" w14:paraId="18A1E2B1" w14:textId="77777777" w:rsidTr="003D1A59">
        <w:tc>
          <w:tcPr>
            <w:tcW w:w="2405" w:type="dxa"/>
          </w:tcPr>
          <w:p w14:paraId="643AE98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31F08D0"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15824C96" w14:textId="77777777" w:rsidR="00317816" w:rsidRPr="00C24D02" w:rsidRDefault="00317816" w:rsidP="00317816">
      <w:pPr>
        <w:spacing w:after="144" w:line="360" w:lineRule="auto"/>
        <w:rPr>
          <w:rFonts w:asciiTheme="minorHAnsi" w:hAnsiTheme="minorHAnsi" w:cstheme="minorHAnsi"/>
        </w:rPr>
      </w:pPr>
    </w:p>
    <w:p w14:paraId="42C0D76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Rozdíly v posudcích</w:t>
      </w:r>
    </w:p>
    <w:p w14:paraId="7B13899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7934306"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 rámci hodnocení vybraných výsledků H24 byl k posouzení předložen výsledek Unfair terms in banking and financial contracts publikovaný v roce 2023 v Oxford University Press. Tento výsledek představuje kapitolu v mezinárodní kolektivní monografii, která vznikla na základě výběrového řízení editorů a byla publikována v jednom z nejprestižnějších světových nakladatelství. Kapitola podává ucelený přehled a kritickou analýzu problematiky zneužívajících smluvních ujednání v bankovních a finančních smlouvách v českém právu, </w:t>
      </w:r>
      <w:r w:rsidRPr="00C24D02">
        <w:rPr>
          <w:rFonts w:asciiTheme="minorHAnsi" w:hAnsiTheme="minorHAnsi" w:cstheme="minorHAnsi"/>
        </w:rPr>
        <w:lastRenderedPageBreak/>
        <w:t>rovněž se zaměřením na civilní proces, a zpřístupňuje tuto oblast zahraniční odborné komunitě.</w:t>
      </w:r>
    </w:p>
    <w:p w14:paraId="277F01B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V rámci hodnocení H24 byl tento výsledek posouzen třemi hodnotiteli. Dva z nich jej ohodnotili známkou 4, zatímco jeden hodnotitel udělil známku 2 a zdůraznil originalitu, význam a mezinárodní přesah kapitoly. Výsledná známka byla stanovena jako 4. Domníváme se, že toto hodnocení neodpovídá povaze ani skutečnému přínosu kapitoly a vychází z nesprávného uchopení žánru národní zprávy. Rozpor v posudcích, zejména zásadní rozdíl mezi hodnocením 2 a 4, ukazuje, že výsledek nebyl hodnocen jednotně a objektivně.</w:t>
      </w:r>
    </w:p>
    <w:p w14:paraId="4E72913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Je proto nezbytné přihlédnout k okolnostem, které jasně dokládají kvalitu a význam hodnoceného výsledku. Kapitola byla publikována u Oxford University Press, jednoho z nejprestižnějších akademických nakladatelství, a byla zpracována v rámci mezinárodního projektu vedeného renomovanými editory. Autoři jednotlivých národních zpráv byli vybíráni z okruhu předních odborníků na danou problematiku. Již samotné zařazení mezi autory je tak projevem odborného uznání a potvrzením kvality práce.</w:t>
      </w:r>
    </w:p>
    <w:p w14:paraId="1C39D7D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Dalším aspektem, který je třeba zdůraznit, jsou žánrová specifika národní zprávy. Struktura kapitoly byla předurčena editory na základě jednotného dotazníku, což je standardní metodologický postup v rámci komparativních publikací. Účelem takové jednotné struktury není omezit originalitu, nýbrž umožnit přímé srovnání mezi jednotlivými právními řády. Hodnotit kapitolu optikou samostatné vědecké studie s vlastní metodologií proto není přiléhavé.</w:t>
      </w:r>
    </w:p>
    <w:p w14:paraId="721A9D1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Na tuto skutečnost bezprostředně navazuje otázka originality a přínosu v českém kontextu. Kapitola se věnuje úzce vymezené problematice unfair terms in banking and financial contracts, která nebyla v české odborné literatuře dosud komplexně zpracována. Autorky shromáždily veškerou dostupnou judikaturu, systematicky ji analyzovaly a kriticky reflektovaly. Význam kapitoly proto nespočívá pouze v sumarizaci, ale především v kritické syntéze, v systematizaci roztříštěných poznatků a v jejich zasazení do širšího evropského rámce.</w:t>
      </w:r>
    </w:p>
    <w:p w14:paraId="020A2FF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Neméně významným prvkem je také mezinárodní dosah kapitoly. Text je publikován v anglickém jazyce a zpřístupňuje českou právní úpravu zahraniční odborné komunitě. Národní zprávy v rámci této monografie slouží jako základ pro generální zprávu, která syntetizuje </w:t>
      </w:r>
      <w:r w:rsidRPr="00C24D02">
        <w:rPr>
          <w:rFonts w:asciiTheme="minorHAnsi" w:hAnsiTheme="minorHAnsi" w:cstheme="minorHAnsi"/>
        </w:rPr>
        <w:lastRenderedPageBreak/>
        <w:t>závěry jednotlivých jurisdikcí. Česká kapitola se tak stává nejen samostatným zdrojem informací, ale zároveň i součástí mezinárodního komparativního diskurzu, který má přímý dopad na další citace a na viditelnost českého práva v zahraničí.</w:t>
      </w:r>
    </w:p>
    <w:p w14:paraId="5BDFB74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Navzdory výše uvedeným skutečnostem byla kapitola hodnocena výslednou známkou 4. Takové hodnocení je nepřiměřené a neodráží skutečný význam výsledku. Posudky se navíc zásadně rozcházejí: zatímco jeden hodnotitel kapitolu ohodnotil známkou 2 a zdůraznil její originalitu i mezinárodní dopad, další hodnotitelé shledali přínos omezeným a udělili známku 4. Tento rozpor dokládá, že hodnocení není jednotné ani přesvědčivě podložené. Pokud může být tentýž text označen jedním recenzentem za „unikátní a ucelené zpracování“ a jiným za „nízkou kvalitu“, je zřejmé, že výsledná známka 4 nevystihuje skutečnou hodnotu výstupu.</w:t>
      </w:r>
    </w:p>
    <w:p w14:paraId="30870BB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Na základě výše uvedených důvodů proto navrhujeme, aby bylo hodnocení výsledku přehodnoceno a upraveno tak, aby odpovídalo jeho skutečnému významu a přínosu. Adekvátní je minimálně hodnocení na úrovni známky 2, případně 3.</w:t>
      </w:r>
    </w:p>
    <w:p w14:paraId="47DA468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Výsledek je kapitolou v knize a byl hodnocen z pohledu kritéria přínosu k poznání. Řada argumentů obsažených v námitce se s tímto základním rámcem pro hodnocení míjí.</w:t>
      </w:r>
    </w:p>
    <w:p w14:paraId="1BD1507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Autorky uvádějí, že kniha byla publikována v prestižním nakladatelství a již jejich zařazení do autorského kolektivu vypovídá o ocenění jejich vědecké práce. Je rovněž představitelné, že vytvoření rukopisu a následné reakce na připomínky editorů vyžadovaly vynaložení významného úsilí.</w:t>
      </w:r>
    </w:p>
    <w:p w14:paraId="480986E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Nic z toho však nevypovídá o tom, zda představuje daná kapitola přínos k poznání, což je předmětem hodnocení.</w:t>
      </w:r>
    </w:p>
    <w:p w14:paraId="30892E4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Hodnotitel, který hodnotil kapitolu známkou 4, zdůraznil mimo jiné, že kapitola opomíjí důležitá témata z oblasti spotřebitelského úvěru a činnosti nebankovních institucí. S touto tezí námitka nijak nepolemizuje.</w:t>
      </w:r>
    </w:p>
    <w:p w14:paraId="19C2066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Je jistě pravda, že přehledné shrnutí české právní úpravy, judikatury a doktríny umožňuje v první řadě zpracovat komparativní kapitolu knihu a následně může zvýšit zájem o českou právní úpravu a zlepšit dostupnost informací o ní pro zahraniční výzkumníky. Tím se však pouze umožňuje, aby k poznání přispěl někdo jiný. Předmětem hodnocení je, jak k poznání </w:t>
      </w:r>
      <w:r w:rsidRPr="00C24D02">
        <w:rPr>
          <w:rFonts w:asciiTheme="minorHAnsi" w:hAnsiTheme="minorHAnsi" w:cstheme="minorHAnsi"/>
        </w:rPr>
        <w:lastRenderedPageBreak/>
        <w:t>přispěla hodnocená kapitola v knize. Zde mohu pouze zopakovat, že přínosem kapitoly je utřídění a koncentrace informací, které již byly obsaženy jinde. To má svou hodnotu, avšak na škále hodnocení to odpovídá závěru, že výsledek je z hlediska originality, významu a obtížnosti získání národně uznatelný.</w:t>
      </w:r>
    </w:p>
    <w:p w14:paraId="437C93B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S ohledem na uvedené nedoporučuji vyhovět námitce.</w:t>
      </w:r>
    </w:p>
    <w:p w14:paraId="1D3C3F82"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2B5D1826"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Při hodnocení je nutno postupovat dle oddílu 7.2.3. Rozhodování o výsledném zařazení výsledku na hodnoticí škále, písmene c), Postupu</w:t>
      </w:r>
      <w:r w:rsidRPr="00C24D02">
        <w:rPr>
          <w:rStyle w:val="Znakapoznpodarou"/>
          <w:rFonts w:asciiTheme="minorHAnsi" w:eastAsiaTheme="majorEastAsia" w:hAnsiTheme="minorHAnsi" w:cstheme="minorHAnsi"/>
        </w:rPr>
        <w:footnoteReference w:id="36"/>
      </w:r>
      <w:r w:rsidRPr="00C24D02">
        <w:rPr>
          <w:rFonts w:asciiTheme="minorHAnsi" w:hAnsiTheme="minorHAnsi" w:cstheme="minorHAnsi"/>
        </w:rPr>
        <w:t>, ve kterém je uvedeno: „</w:t>
      </w:r>
      <w:r w:rsidRPr="00C24D02">
        <w:rPr>
          <w:rFonts w:asciiTheme="minorHAnsi" w:hAnsiTheme="minorHAnsi" w:cstheme="minorHAnsi"/>
          <w:i/>
          <w:iCs/>
        </w:rPr>
        <w:t xml:space="preserve">V případě, kdy se zařazení výstupu oběma hodnotiteli liší o více než jeden kvalitativní stupeň (např. 2 vs. 4 nebo 1 vs. 3), </w:t>
      </w:r>
      <w:r w:rsidRPr="00C24D02">
        <w:rPr>
          <w:rFonts w:asciiTheme="minorHAnsi" w:hAnsiTheme="minorHAnsi" w:cstheme="minorHAnsi"/>
          <w:i/>
          <w:iCs/>
          <w:u w:val="single"/>
        </w:rPr>
        <w:t>může být zadáno</w:t>
      </w:r>
      <w:r w:rsidRPr="00C24D02">
        <w:rPr>
          <w:rFonts w:asciiTheme="minorHAnsi" w:hAnsiTheme="minorHAnsi" w:cstheme="minorHAnsi"/>
          <w:i/>
          <w:iCs/>
        </w:rPr>
        <w:t xml:space="preserve"> vypracování posudku třetímu hodnotiteli. Na základě získaných hodnocení se pak přikloní garant hodnocení vybraných výsledků standardně k jednomu z navržených hodnocení. Pokud garant bibliometrické analýzy s navrženým hodnocením nesouhlasí, postupuje se podle bodu d).“</w:t>
      </w:r>
    </w:p>
    <w:p w14:paraId="5CECE9CC" w14:textId="3948ABAC" w:rsidR="00317816" w:rsidRPr="003C778F" w:rsidRDefault="00317816" w:rsidP="00317816">
      <w:pPr>
        <w:spacing w:before="240" w:after="144" w:line="360" w:lineRule="auto"/>
        <w:jc w:val="both"/>
        <w:rPr>
          <w:rFonts w:asciiTheme="minorHAnsi" w:hAnsiTheme="minorHAnsi" w:cstheme="minorHAnsi"/>
          <w:b/>
          <w:bCs/>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vyjádřením Odborného panelu námitce nevyhovět a ponecháním původního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A380299" w14:textId="77777777" w:rsidTr="003D1A59">
        <w:tc>
          <w:tcPr>
            <w:tcW w:w="2405" w:type="dxa"/>
          </w:tcPr>
          <w:p w14:paraId="07D2258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3F7886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Univerzita Pardubice</w:t>
            </w:r>
          </w:p>
        </w:tc>
      </w:tr>
      <w:tr w:rsidR="00317816" w:rsidRPr="00C24D02" w14:paraId="5D4BF93E" w14:textId="77777777" w:rsidTr="003D1A59">
        <w:tc>
          <w:tcPr>
            <w:tcW w:w="2405" w:type="dxa"/>
          </w:tcPr>
          <w:p w14:paraId="01C8901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64D449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192288422</w:t>
            </w:r>
          </w:p>
        </w:tc>
      </w:tr>
      <w:tr w:rsidR="00317816" w:rsidRPr="00C24D02" w14:paraId="45616AE6" w14:textId="77777777" w:rsidTr="003D1A59">
        <w:trPr>
          <w:trHeight w:val="741"/>
        </w:trPr>
        <w:tc>
          <w:tcPr>
            <w:tcW w:w="2405" w:type="dxa"/>
          </w:tcPr>
          <w:p w14:paraId="46A5A17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B2F6C7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Direct culture-free electrochemical detection of Salmonella cells in milk based on quantum dots-modified nanostructured dendrons</w:t>
            </w:r>
          </w:p>
        </w:tc>
      </w:tr>
      <w:tr w:rsidR="00317816" w:rsidRPr="00C24D02" w14:paraId="7B1C5CDE" w14:textId="77777777" w:rsidTr="003D1A59">
        <w:tc>
          <w:tcPr>
            <w:tcW w:w="2405" w:type="dxa"/>
          </w:tcPr>
          <w:p w14:paraId="454EC69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A25117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w:t>
            </w:r>
          </w:p>
        </w:tc>
      </w:tr>
      <w:tr w:rsidR="00317816" w:rsidRPr="00C24D02" w14:paraId="3E7AD829" w14:textId="77777777" w:rsidTr="003D1A59">
        <w:tc>
          <w:tcPr>
            <w:tcW w:w="2405" w:type="dxa"/>
          </w:tcPr>
          <w:p w14:paraId="0A23B20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16726AE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1177CCB3" w14:textId="77777777" w:rsidTr="003D1A59">
        <w:tc>
          <w:tcPr>
            <w:tcW w:w="2405" w:type="dxa"/>
          </w:tcPr>
          <w:p w14:paraId="09C36CF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37"/>
            </w:r>
            <w:r w:rsidRPr="00C24D02">
              <w:rPr>
                <w:rFonts w:asciiTheme="minorHAnsi" w:eastAsia="Calibri" w:hAnsiTheme="minorHAnsi" w:cstheme="minorHAnsi"/>
              </w:rPr>
              <w:t>)</w:t>
            </w:r>
          </w:p>
        </w:tc>
        <w:tc>
          <w:tcPr>
            <w:tcW w:w="6378" w:type="dxa"/>
          </w:tcPr>
          <w:p w14:paraId="29392CC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2/4/-/3</w:t>
            </w:r>
          </w:p>
        </w:tc>
      </w:tr>
      <w:tr w:rsidR="00317816" w:rsidRPr="00C24D02" w14:paraId="1E5CF737" w14:textId="77777777" w:rsidTr="003D1A59">
        <w:tc>
          <w:tcPr>
            <w:tcW w:w="2405" w:type="dxa"/>
          </w:tcPr>
          <w:p w14:paraId="3BF4B2E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5808437"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6F84CC86" w14:textId="77777777" w:rsidR="00317816" w:rsidRPr="00C24D02" w:rsidRDefault="00317816" w:rsidP="00317816">
      <w:pPr>
        <w:spacing w:after="144" w:line="360" w:lineRule="auto"/>
        <w:rPr>
          <w:rFonts w:asciiTheme="minorHAnsi" w:hAnsiTheme="minorHAnsi" w:cstheme="minorHAnsi"/>
        </w:rPr>
      </w:pPr>
    </w:p>
    <w:p w14:paraId="54A71ED3"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Transfer výsledku do praxe</w:t>
      </w:r>
    </w:p>
    <w:p w14:paraId="2A565F1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E8AD86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Vzhledem ke skutečnosti, že jeden z hodnotitelů opírá svůj komentář a rozhodnutí o výsledné známce 4 o trasfer technologie k reálnému využití a o prohlášení, že bez následného transferu nemůže mít výsledek špičkovou hodnotu, a že panelista následně v hodnocení rovněž uvádí uplatnění výsledku jako překážku lepšího hodnocení, dodáváme námitku k uvedenému hodnocení, s ohledem na závazný postup při hodnocení dle použité Metodiky 2017+. Jak hodnotitel, tak i panelista přihlédli v hodnocení k významu nesprávného kritéria, výsledek byl přihlášen k hodnocení dle kritéria „PP“ a měl být tedy posouván z hlediska originality, významu a obtížnosti získání, a nikoliv s ohledem na transfer do praxe. </w:t>
      </w:r>
    </w:p>
    <w:p w14:paraId="3F9D12E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Slovní hodnocení se týkalo zejména kritéria významu práce a přínosu pro poznání a nikoli významu pro praxi. Budoucí uplatnitelnost výzkumných výsledků logicky koreluje s významem pro současné poznání. Celkový přínos práce pro poznání je limitován, neboť práce nevybočuje z řady obdobných již dříve publikovaných prací na dané téma. Kromě toho z hlediska obtížnosti získání, lze považovat výsledek spíše za průměrný. Hodnocení výsledku jako velmi dobrý je tedy odpovídající.</w:t>
      </w:r>
    </w:p>
    <w:p w14:paraId="07EC05B0"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3.</w:t>
      </w:r>
    </w:p>
    <w:p w14:paraId="04A2E085"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Při hodnocení je nutno postupovat dle oddílu 7.2.3. Rozhodování o výsledném zařazení výsledku na hodnoticí škále, písmene c), Postupu</w:t>
      </w:r>
      <w:r w:rsidRPr="00C24D02">
        <w:rPr>
          <w:rStyle w:val="Znakapoznpodarou"/>
          <w:rFonts w:asciiTheme="minorHAnsi" w:eastAsiaTheme="majorEastAsia" w:hAnsiTheme="minorHAnsi" w:cstheme="minorHAnsi"/>
        </w:rPr>
        <w:footnoteReference w:id="38"/>
      </w:r>
      <w:r w:rsidRPr="00C24D02">
        <w:rPr>
          <w:rFonts w:asciiTheme="minorHAnsi" w:hAnsiTheme="minorHAnsi" w:cstheme="minorHAnsi"/>
        </w:rPr>
        <w:t>, ve kterém je uvedeno: „</w:t>
      </w:r>
      <w:r w:rsidRPr="00C24D02">
        <w:rPr>
          <w:rFonts w:asciiTheme="minorHAnsi" w:hAnsiTheme="minorHAnsi" w:cstheme="minorHAnsi"/>
          <w:i/>
          <w:iCs/>
        </w:rPr>
        <w:t xml:space="preserve">V případě, kdy se zařazení výstupu oběma hodnotiteli liší o více než </w:t>
      </w:r>
      <w:r w:rsidRPr="00C24D02">
        <w:rPr>
          <w:rFonts w:asciiTheme="minorHAnsi" w:hAnsiTheme="minorHAnsi" w:cstheme="minorHAnsi"/>
          <w:i/>
          <w:iCs/>
        </w:rPr>
        <w:lastRenderedPageBreak/>
        <w:t xml:space="preserve">jeden kvalitativní stupeň (např. 2 vs. 4 nebo 1 vs. 3), </w:t>
      </w:r>
      <w:r w:rsidRPr="00C24D02">
        <w:rPr>
          <w:rFonts w:asciiTheme="minorHAnsi" w:hAnsiTheme="minorHAnsi" w:cstheme="minorHAnsi"/>
          <w:i/>
          <w:iCs/>
          <w:u w:val="single"/>
        </w:rPr>
        <w:t>může být zadáno</w:t>
      </w:r>
      <w:r w:rsidRPr="00C24D02">
        <w:rPr>
          <w:rFonts w:asciiTheme="minorHAnsi" w:hAnsiTheme="minorHAnsi" w:cstheme="minorHAnsi"/>
          <w:i/>
          <w:iCs/>
        </w:rPr>
        <w:t xml:space="preserve"> vypracování posudku třetímu hodnotiteli. Na základě získaných hodnocení se pak přikloní garant hodnocení vybraných výsledků standardně k jednomu z navržených hodnocení. Pokud garant bibliometrické analýzy s navrženým hodnocením nesouhlasí, postupuje se podle bodu d).“</w:t>
      </w:r>
    </w:p>
    <w:p w14:paraId="5324A3C9" w14:textId="33EEB5F5" w:rsidR="00317816" w:rsidRPr="00C24D02"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B7415E5" w14:textId="77777777" w:rsidTr="003D1A59">
        <w:tc>
          <w:tcPr>
            <w:tcW w:w="2405" w:type="dxa"/>
          </w:tcPr>
          <w:p w14:paraId="3FAC373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CCE8FE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Vysoké učení technické v Brně - Fakulta strojního inženýrství</w:t>
            </w:r>
          </w:p>
        </w:tc>
      </w:tr>
      <w:tr w:rsidR="00317816" w:rsidRPr="00C24D02" w14:paraId="5D977082" w14:textId="77777777" w:rsidTr="003D1A59">
        <w:tc>
          <w:tcPr>
            <w:tcW w:w="2405" w:type="dxa"/>
          </w:tcPr>
          <w:p w14:paraId="1F78BEC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63B577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 xml:space="preserve">192493786 </w:t>
            </w:r>
          </w:p>
        </w:tc>
      </w:tr>
      <w:tr w:rsidR="00317816" w:rsidRPr="00C24D02" w14:paraId="5CC275F8" w14:textId="77777777" w:rsidTr="003D1A59">
        <w:trPr>
          <w:trHeight w:val="741"/>
        </w:trPr>
        <w:tc>
          <w:tcPr>
            <w:tcW w:w="2405" w:type="dxa"/>
          </w:tcPr>
          <w:p w14:paraId="15C403D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BD530E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Software na optimalizaci trasování</w:t>
            </w:r>
          </w:p>
        </w:tc>
      </w:tr>
      <w:tr w:rsidR="00317816" w:rsidRPr="00C24D02" w14:paraId="33B6F33E" w14:textId="77777777" w:rsidTr="003D1A59">
        <w:tc>
          <w:tcPr>
            <w:tcW w:w="2405" w:type="dxa"/>
          </w:tcPr>
          <w:p w14:paraId="2B3499B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BF8D2A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1.1.</w:t>
            </w:r>
          </w:p>
        </w:tc>
      </w:tr>
      <w:tr w:rsidR="00317816" w:rsidRPr="00C24D02" w14:paraId="4EB2EF5A" w14:textId="77777777" w:rsidTr="003D1A59">
        <w:tc>
          <w:tcPr>
            <w:tcW w:w="2405" w:type="dxa"/>
          </w:tcPr>
          <w:p w14:paraId="0C9E547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311A080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6ED7ACBB" w14:textId="77777777" w:rsidTr="003D1A59">
        <w:tc>
          <w:tcPr>
            <w:tcW w:w="2405" w:type="dxa"/>
          </w:tcPr>
          <w:p w14:paraId="41951E5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39"/>
            </w:r>
            <w:r w:rsidRPr="00C24D02">
              <w:rPr>
                <w:rFonts w:asciiTheme="minorHAnsi" w:eastAsia="Calibri" w:hAnsiTheme="minorHAnsi" w:cstheme="minorHAnsi"/>
              </w:rPr>
              <w:t>)</w:t>
            </w:r>
          </w:p>
        </w:tc>
        <w:tc>
          <w:tcPr>
            <w:tcW w:w="6378" w:type="dxa"/>
          </w:tcPr>
          <w:p w14:paraId="10BAF1B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w:t>
            </w:r>
          </w:p>
        </w:tc>
      </w:tr>
      <w:tr w:rsidR="00317816" w:rsidRPr="00C24D02" w14:paraId="7F8FF3A5" w14:textId="77777777" w:rsidTr="003D1A59">
        <w:tc>
          <w:tcPr>
            <w:tcW w:w="2405" w:type="dxa"/>
          </w:tcPr>
          <w:p w14:paraId="630A651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20D3FCA4" w14:textId="77777777" w:rsidR="00317816" w:rsidRPr="00C24D02" w:rsidRDefault="00317816" w:rsidP="003D1A59">
            <w:pPr>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p>
        </w:tc>
      </w:tr>
    </w:tbl>
    <w:p w14:paraId="5082F980" w14:textId="77777777" w:rsidR="00317816" w:rsidRPr="00C24D02" w:rsidRDefault="00317816" w:rsidP="00317816">
      <w:pPr>
        <w:spacing w:after="144" w:line="360" w:lineRule="auto"/>
        <w:rPr>
          <w:rFonts w:asciiTheme="minorHAnsi" w:hAnsiTheme="minorHAnsi" w:cstheme="minorHAnsi"/>
        </w:rPr>
      </w:pPr>
    </w:p>
    <w:p w14:paraId="4BAA876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Proti procesu hodnocení</w:t>
      </w:r>
    </w:p>
    <w:p w14:paraId="681872F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0CFE9E8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Hodnocení výsledku neproběhlo v souladu s platnou metodikou. Přestože byly dodány veškeré podklady potřebné pro hodnocení výsledku typu R, výsledek nebyl hodnocen hodnotiteli, ale pouze panelistou, který na základě konstatování o nedoložení podkladů pro hodnocení výsledku stanovil známku 5. Tento postup a přiřazení výsledného hodnocení 5 je v příkrém rozporu s platnou metodikou. Požadujeme zneplatnění tohoto hodnocení a revizi hodnocení výsledku podle platné metodiky. </w:t>
      </w:r>
    </w:p>
    <w:p w14:paraId="1F14A17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Odůvodnění: </w:t>
      </w:r>
    </w:p>
    <w:p w14:paraId="75835F2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 xml:space="preserve">Výsledek byl posouzen jen panelistou garantem, který konstatoval, že „K záznamu není doložen klíčový výsledek, není tedy možno provést vlastní hodnocení“. Toto tvrzení považujeme za nesprávné, jelikož dle Uživatelské příručky (M17+ Uživatelská příručka pro výzkumné organizace, členy Odborných panelů, externí hodnotitele a poskytovatele institucionální podpory VaVaI) na str. 16 „V případě výsledků, které nelze z jejich povahy takto předložit, vkládá výzkumná organizace příslušnou dokumentaci popisující vybraný výsledek a další podpůrné informace.“ Podle našeho názoru byly k výsledku doloženy všechny relevantní podklady, na základě kterých je možné výsledek posoudit dle kritéria společenské relevance v Modulu 1. Byl dodán podrobný popis všech funkcionalit softwaru a rozbor přínosu oproti současným řešením. Dále byla dodána webová adresa s DEMO verzí. Byla poskytnuta i smlouva o komercializaci výsledku. Tímto byla plně doložena společenská relevance výsledku podle hodnotících kritérií. Dodáváme, že nelze dodat plně funkční SW, a to z licenčních a kapacitních důvodů. Například jen mapové podklady mají několik terabytů a vlastní software bez licencovaného frontendu a backendu nelze zkoušet. Na druhou stranu posílat vlastní kód nedává smysl. </w:t>
      </w:r>
    </w:p>
    <w:p w14:paraId="4BE6E80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Hodnocení výsledku známkou 5 na základě konstatování o nedoložení podkladů pro hodnocení výsledku, přičemž tyto doklady byly dodány, je příkrém rozporu s metodikou. Proto žádáme o zneplatnění tohoto hodnocení a revizi hodnocení výsledku podle platné metodiky.</w:t>
      </w:r>
    </w:p>
    <w:p w14:paraId="745F8A7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Odborný panel setrvává na svém původním rozhodnutí ohledně hodnocení výsledku. Námitka nic nemění na povaze podstatné připomínky, totiž že není možné rozhodnout, protože z popisu výsledku (který nemůže být připojen, což je v souladu s Metodikou) není patrné, jak předložený výsledek přispívá ke společenské relevanci v rámci oboru 1.1.</w:t>
      </w:r>
    </w:p>
    <w:p w14:paraId="104ED23E"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3AE44933" w14:textId="77777777" w:rsidR="00317816" w:rsidRPr="00C24D02" w:rsidRDefault="00317816" w:rsidP="00317816">
      <w:pPr>
        <w:spacing w:before="240" w:after="144" w:line="360" w:lineRule="auto"/>
        <w:jc w:val="both"/>
        <w:rPr>
          <w:rFonts w:asciiTheme="minorHAnsi" w:hAnsiTheme="minorHAnsi" w:cstheme="minorHAnsi"/>
          <w:b/>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Rozporná odpověď garanta (společenská relevance nevyplývá z popisu výsledku, který nemůže být předložen).</w:t>
      </w:r>
    </w:p>
    <w:p w14:paraId="389FB320" w14:textId="67C754FD"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lastRenderedPageBreak/>
        <w:t>Závěr KHV</w:t>
      </w:r>
      <w:r w:rsidRPr="00C24D02">
        <w:rPr>
          <w:rFonts w:asciiTheme="minorHAnsi" w:hAnsiTheme="minorHAnsi" w:cstheme="minorHAnsi"/>
          <w:b/>
          <w:bCs/>
        </w:rPr>
        <w:t xml:space="preserve">: </w:t>
      </w:r>
      <w:r w:rsidRPr="00C24D02">
        <w:rPr>
          <w:rFonts w:asciiTheme="minorHAnsi" w:hAnsiTheme="minorHAnsi" w:cstheme="minorHAnsi"/>
        </w:rPr>
        <w:t>KHV navrhuje vrátit výsledek do hodnocení. Samotný software z objektivních důvodů přiložen není, ale dodaný popis výsledku i jeho praktické využití by mělo být dostačující ke zhodnocení a garant měl oslovit hodnotitele s žádostí o vyjádření.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DF6CB81" w14:textId="77777777" w:rsidTr="003D1A59">
        <w:tc>
          <w:tcPr>
            <w:tcW w:w="2405" w:type="dxa"/>
          </w:tcPr>
          <w:p w14:paraId="61A7A6D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7B88C9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Vysoké učení technické v Brně - Fakulta informačních technologií</w:t>
            </w:r>
          </w:p>
        </w:tc>
      </w:tr>
      <w:tr w:rsidR="00317816" w:rsidRPr="00C24D02" w14:paraId="7EBA1CEA" w14:textId="77777777" w:rsidTr="003D1A59">
        <w:tc>
          <w:tcPr>
            <w:tcW w:w="2405" w:type="dxa"/>
          </w:tcPr>
          <w:p w14:paraId="7FEA12D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1E2A3F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192388305</w:t>
            </w:r>
          </w:p>
        </w:tc>
      </w:tr>
      <w:tr w:rsidR="00317816" w:rsidRPr="00C24D02" w14:paraId="27E9BD8E" w14:textId="77777777" w:rsidTr="003D1A59">
        <w:trPr>
          <w:trHeight w:val="741"/>
        </w:trPr>
        <w:tc>
          <w:tcPr>
            <w:tcW w:w="2405" w:type="dxa"/>
          </w:tcPr>
          <w:p w14:paraId="44F42E7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6A6CBE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Immersive Trip Reports</w:t>
            </w:r>
          </w:p>
        </w:tc>
      </w:tr>
      <w:tr w:rsidR="00317816" w:rsidRPr="00C24D02" w14:paraId="37B07A2B" w14:textId="77777777" w:rsidTr="003D1A59">
        <w:tc>
          <w:tcPr>
            <w:tcW w:w="2405" w:type="dxa"/>
          </w:tcPr>
          <w:p w14:paraId="4D19B97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EEDE67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1.2</w:t>
            </w:r>
          </w:p>
        </w:tc>
      </w:tr>
      <w:tr w:rsidR="00317816" w:rsidRPr="00C24D02" w14:paraId="75F9C0F2" w14:textId="77777777" w:rsidTr="003D1A59">
        <w:tc>
          <w:tcPr>
            <w:tcW w:w="2405" w:type="dxa"/>
          </w:tcPr>
          <w:p w14:paraId="084B89F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54F92B2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07576F93" w14:textId="77777777" w:rsidTr="003D1A59">
        <w:tc>
          <w:tcPr>
            <w:tcW w:w="2405" w:type="dxa"/>
          </w:tcPr>
          <w:p w14:paraId="096C0A3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40"/>
            </w:r>
            <w:r w:rsidRPr="00C24D02">
              <w:rPr>
                <w:rFonts w:asciiTheme="minorHAnsi" w:eastAsia="Calibri" w:hAnsiTheme="minorHAnsi" w:cstheme="minorHAnsi"/>
              </w:rPr>
              <w:t>)</w:t>
            </w:r>
          </w:p>
        </w:tc>
        <w:tc>
          <w:tcPr>
            <w:tcW w:w="6378" w:type="dxa"/>
          </w:tcPr>
          <w:p w14:paraId="10CF9A1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5/3/-/4</w:t>
            </w:r>
          </w:p>
        </w:tc>
      </w:tr>
      <w:tr w:rsidR="00317816" w:rsidRPr="00C24D02" w14:paraId="3C20F833" w14:textId="77777777" w:rsidTr="003D1A59">
        <w:tc>
          <w:tcPr>
            <w:tcW w:w="2405" w:type="dxa"/>
          </w:tcPr>
          <w:p w14:paraId="4060209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2CFE214"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57DE9BAF" w14:textId="77777777" w:rsidR="00317816" w:rsidRPr="00C24D02" w:rsidRDefault="00317816" w:rsidP="00317816">
      <w:pPr>
        <w:spacing w:after="144" w:line="360" w:lineRule="auto"/>
        <w:rPr>
          <w:rFonts w:asciiTheme="minorHAnsi" w:hAnsiTheme="minorHAnsi" w:cstheme="minorHAnsi"/>
        </w:rPr>
      </w:pPr>
    </w:p>
    <w:p w14:paraId="12077CA4"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nové posouzení</w:t>
      </w:r>
    </w:p>
    <w:p w14:paraId="444560E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4A3D9D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Při hodnocení výše uvedeného výsledku podaného v kategorii „přínos k poznání“ dle našeho názoru došlo k zásadnímu procesnímu pochybení při hodnocení. Podle uživatelské příručky M17+ je výstupem recenzního hodnocení výsledku v oblasti „přínos k poznání“: „</w:t>
      </w:r>
      <w:r w:rsidRPr="00C24D02">
        <w:rPr>
          <w:rFonts w:asciiTheme="minorHAnsi" w:hAnsiTheme="minorHAnsi" w:cstheme="minorHAnsi"/>
          <w:i/>
          <w:iCs/>
        </w:rPr>
        <w:t>konstatovat, zda daný výsledek je v souladu se světovými či národními standardy kvality v příslušném oboru</w:t>
      </w:r>
      <w:r w:rsidRPr="00C24D02">
        <w:rPr>
          <w:rFonts w:asciiTheme="minorHAnsi" w:hAnsiTheme="minorHAnsi" w:cstheme="minorHAnsi"/>
        </w:rPr>
        <w:t xml:space="preserve">.“ Dále se v oblasti „přínos k poznání“ očekává výstup posuzující originalitu, význam a obtížnost získání výsledku, přičemž toto hodnocení se vztahuje zejména na výsledky základního výzkumu. Tento postup nebyl dodržen, způsob hodnocení výsledku, který zásadně ovlivnil stanovení výsledného hodnocení, tak neodpovídá platné metodice. </w:t>
      </w:r>
    </w:p>
    <w:p w14:paraId="0CE89EA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Odůvodnění: </w:t>
      </w:r>
    </w:p>
    <w:p w14:paraId="531AC06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 xml:space="preserve">Vykazovaný výsledek "Immersive Trip Reports" shrnuje inovativní způsoby prezentace fotografií v 3D modelu terénu. Představuje možnosti jak interaktivní prezentace fotografií ve virtuální realitě, tak i neinteraktivní prezentace ve formě automaticky vygenerovaného videa. Vykazovaný software tyto způsoby prezentace implementuje a zpřístupňuje veřejnosti na platformě GitHub. </w:t>
      </w:r>
    </w:p>
    <w:p w14:paraId="4453626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Odůvodnění vykazovaného výsledku je podloženo přiloženým článkem a patentem uplatněným v USA ve spolupráci se společností Adobe. Tyto doložená dokumenty a výstupy tvoří nedílnou argumentační základnu pro hodnocení výsledku. Z důvodu své komplexnosti výsledek výborně splňuje nejnáročnější kritéria pro hodnocení jak v kategorii Přínos k poznání, tak v kategorii Společenská relevance. Protože výsledek lze vykázat pouze do jedné z kategorií, a protože doložené dokumenty lépe dokládají význam výsledku pro přínos k poznání, byla zvolena tato kategorie. </w:t>
      </w:r>
    </w:p>
    <w:p w14:paraId="4DF27AA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Vykázaný software je implementací poznatků publikovaných ve stejnojmenném článku "Immersive Trip Reports", který je popsán v odůvodnění výsledku a také k němu přiložen. Zmíněný článek byl prezentován na prestižní konferenci CORE A* UIST (</w:t>
      </w:r>
      <w:r w:rsidRPr="00C24D02">
        <w:rPr>
          <w:rFonts w:asciiTheme="minorHAnsi" w:hAnsiTheme="minorHAnsi" w:cstheme="minorHAnsi"/>
          <w:i/>
          <w:iCs/>
        </w:rPr>
        <w:t>The ACM Symposium on User Interface Software and Technology</w:t>
      </w:r>
      <w:r w:rsidRPr="00C24D02">
        <w:rPr>
          <w:rFonts w:asciiTheme="minorHAnsi" w:hAnsiTheme="minorHAnsi" w:cstheme="minorHAnsi"/>
        </w:rPr>
        <w:t xml:space="preserve">) a je tedy zřejmé, že získané poznatky jsou odbornou veřejností velmi dobře přijaty. Jak je doloženo, uvedené poznatky dále byly rovněž patentovány v USA ve spolupráci se společností Adobe. Tímto je u vykazovaného výsledku jednoznačně doložena jeho originalita, význam i obtížnost získání, a to v mezinárodním kontextu a v souladu s platnou metodikou. </w:t>
      </w:r>
    </w:p>
    <w:p w14:paraId="6A58612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Z posudku prvního hodnotitele jednoznačně vyplývá, že hodnotitel nezohlednil v rámci svého hodnocení doložené podpůrné materiály (článek a patent), které jednoznačně dokládají celosvětovou znalostní novost a přínos k poznání pro daný obor, a to v mezinárodním kontextu (doloženo mj. USA patentem se společností Adobe). Tento postup, který zásadně ovlivnil stanovení výsledné známky, je v rozporu s platnou metodikou. Žádáme proto revizi hodnocení výsledku.</w:t>
      </w:r>
    </w:p>
    <w:p w14:paraId="5B95465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Odborný panel setrvává na svém původním rozhodnutí ohledně hodnocení výsledku. Námitka opětovně argumentuje US patentem firmy Adobe. Konstatování v hodnocení (technologické firmy patentují ve velkém) je však fakticky správné a samo o sobě dobře ilustruje, že pouhá existence patentu nemůže být dokladem mezinárodní úrovně </w:t>
      </w:r>
      <w:r w:rsidRPr="00C24D02">
        <w:rPr>
          <w:rFonts w:asciiTheme="minorHAnsi" w:hAnsiTheme="minorHAnsi" w:cstheme="minorHAnsi"/>
        </w:rPr>
        <w:lastRenderedPageBreak/>
        <w:t>přínosu výsledku k poznání. Druhým argumentem námitky je ztotožnění úrovně přínosu hodnoceného výsledku k poznání s rankingem konference, na které byl prezentován článek s výsledkem spojený. Tato asociace je sama o sobě přílišným zjednodušením hodnocení kvality výsledku. Zejména je však irelevantní, neboť předmětem hodnocení není uvedený článek, ale software. Hodnocení výsledku je tedy nutno považovat za korektní.</w:t>
      </w:r>
    </w:p>
    <w:p w14:paraId="08B7E0D5"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1138F677"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Při hodnocení je nutno postupovat dle oddílu 7.2.3. Rozhodování o výsledném zařazení výsledku na hodnoticí škále, písmene c), Postupu</w:t>
      </w:r>
      <w:r w:rsidRPr="00C24D02">
        <w:rPr>
          <w:rStyle w:val="Znakapoznpodarou"/>
          <w:rFonts w:asciiTheme="minorHAnsi" w:eastAsiaTheme="majorEastAsia" w:hAnsiTheme="minorHAnsi" w:cstheme="minorHAnsi"/>
        </w:rPr>
        <w:footnoteReference w:id="41"/>
      </w:r>
      <w:r w:rsidRPr="00C24D02">
        <w:rPr>
          <w:rFonts w:asciiTheme="minorHAnsi" w:hAnsiTheme="minorHAnsi" w:cstheme="minorHAnsi"/>
        </w:rPr>
        <w:t>, ve kterém je uvedeno: „</w:t>
      </w:r>
      <w:r w:rsidRPr="00C24D02">
        <w:rPr>
          <w:rFonts w:asciiTheme="minorHAnsi" w:hAnsiTheme="minorHAnsi" w:cstheme="minorHAnsi"/>
          <w:i/>
          <w:iCs/>
        </w:rPr>
        <w:t xml:space="preserve">V případě, kdy se zařazení výstupu oběma hodnotiteli liší o více než jeden kvalitativní stupeň (např. 2 vs. 4 nebo 1 vs. 3), </w:t>
      </w:r>
      <w:r w:rsidRPr="00C24D02">
        <w:rPr>
          <w:rFonts w:asciiTheme="minorHAnsi" w:hAnsiTheme="minorHAnsi" w:cstheme="minorHAnsi"/>
          <w:i/>
          <w:iCs/>
          <w:u w:val="single"/>
        </w:rPr>
        <w:t>může být zadáno</w:t>
      </w:r>
      <w:r w:rsidRPr="00C24D02">
        <w:rPr>
          <w:rFonts w:asciiTheme="minorHAnsi" w:hAnsiTheme="minorHAnsi" w:cstheme="minorHAnsi"/>
          <w:i/>
          <w:iCs/>
        </w:rPr>
        <w:t xml:space="preserve"> vypracování posudku třetímu hodnotiteli. Na základě získaných hodnocení se pak přikloní garant hodnocení vybraných výsledků standardně k jednomu z navržených hodnocení. Pokud garant bibliometrické analýzy s navrženým hodnocením nesouhlasí, postupuje se podle bodu d).“</w:t>
      </w:r>
    </w:p>
    <w:p w14:paraId="5153F7B7"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pravidel Metodiky 2017+.</w:t>
      </w:r>
    </w:p>
    <w:p w14:paraId="1D530212" w14:textId="77777777" w:rsidR="00317816" w:rsidRPr="00C24D02" w:rsidRDefault="00317816" w:rsidP="00317816">
      <w:pPr>
        <w:rPr>
          <w:rFonts w:asciiTheme="minorHAnsi" w:hAnsiTheme="minorHAnsi" w:cstheme="minorHAnsi"/>
        </w:rPr>
      </w:pPr>
    </w:p>
    <w:p w14:paraId="56CE6AD4" w14:textId="7F561C1F" w:rsidR="00317816" w:rsidRPr="00C24D02" w:rsidRDefault="00317816">
      <w:pPr>
        <w:suppressAutoHyphens w:val="0"/>
        <w:spacing w:after="160" w:line="259" w:lineRule="auto"/>
        <w:rPr>
          <w:rFonts w:asciiTheme="minorHAnsi" w:hAnsiTheme="minorHAnsi" w:cstheme="minorHAnsi"/>
          <w:sz w:val="22"/>
          <w:szCs w:val="22"/>
        </w:rPr>
      </w:pPr>
      <w:r w:rsidRPr="00C24D02">
        <w:rPr>
          <w:rFonts w:asciiTheme="minorHAnsi" w:hAnsiTheme="minorHAnsi" w:cstheme="minorHAnsi"/>
          <w:sz w:val="22"/>
          <w:szCs w:val="22"/>
        </w:rPr>
        <w:br w:type="page"/>
      </w:r>
    </w:p>
    <w:p w14:paraId="72A3BBE3" w14:textId="3F3491D6" w:rsidR="00317816" w:rsidRPr="00C24D02" w:rsidRDefault="00317816" w:rsidP="00704870">
      <w:pPr>
        <w:pStyle w:val="Nadpis1"/>
        <w:numPr>
          <w:ilvl w:val="0"/>
          <w:numId w:val="1"/>
        </w:numPr>
        <w:spacing w:before="480" w:after="480" w:line="360" w:lineRule="auto"/>
        <w:ind w:left="714" w:hanging="357"/>
        <w:rPr>
          <w:rFonts w:asciiTheme="minorHAnsi" w:hAnsiTheme="minorHAnsi" w:cstheme="minorHAnsi"/>
          <w:sz w:val="22"/>
          <w:szCs w:val="22"/>
        </w:rPr>
      </w:pPr>
      <w:bookmarkStart w:id="22" w:name="_Hlk218595602"/>
      <w:bookmarkStart w:id="23" w:name="_Toc221799818"/>
      <w:r w:rsidRPr="00C24D02">
        <w:rPr>
          <w:rFonts w:asciiTheme="minorHAnsi" w:hAnsiTheme="minorHAnsi" w:cstheme="minorHAnsi"/>
          <w:sz w:val="22"/>
          <w:szCs w:val="22"/>
        </w:rPr>
        <w:lastRenderedPageBreak/>
        <w:t>Vypořádání bez procesních námitek</w:t>
      </w:r>
      <w:bookmarkEnd w:id="22"/>
      <w:bookmarkEnd w:id="23"/>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382DA492" w14:textId="77777777" w:rsidTr="003D1A59">
        <w:tc>
          <w:tcPr>
            <w:tcW w:w="2405" w:type="dxa"/>
          </w:tcPr>
          <w:p w14:paraId="0E6BF3F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E7B3859" w14:textId="77777777" w:rsidR="00317816" w:rsidRPr="00C24D02" w:rsidRDefault="00317816" w:rsidP="003D1A59">
            <w:pPr>
              <w:spacing w:after="144" w:line="360" w:lineRule="auto"/>
              <w:jc w:val="both"/>
              <w:rPr>
                <w:rFonts w:asciiTheme="minorHAnsi" w:eastAsia="Calibri" w:hAnsiTheme="minorHAnsi" w:cstheme="minorHAnsi"/>
                <w:b/>
                <w:bCs/>
              </w:rPr>
            </w:pPr>
            <w:r w:rsidRPr="00C24D02">
              <w:rPr>
                <w:rFonts w:asciiTheme="minorHAnsi" w:eastAsia="Calibri" w:hAnsiTheme="minorHAnsi" w:cstheme="minorHAnsi"/>
                <w:b/>
                <w:bCs/>
              </w:rPr>
              <w:t>Astronomický ústav AV ČR</w:t>
            </w:r>
          </w:p>
        </w:tc>
      </w:tr>
      <w:tr w:rsidR="00317816" w:rsidRPr="00C24D02" w14:paraId="2FB2014F" w14:textId="77777777" w:rsidTr="003D1A59">
        <w:tc>
          <w:tcPr>
            <w:tcW w:w="2405" w:type="dxa"/>
          </w:tcPr>
          <w:p w14:paraId="4A0F40A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462FB7F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192419157</w:t>
            </w:r>
          </w:p>
        </w:tc>
      </w:tr>
      <w:tr w:rsidR="00317816" w:rsidRPr="00C24D02" w14:paraId="2D7D8F15" w14:textId="77777777" w:rsidTr="003D1A59">
        <w:trPr>
          <w:trHeight w:val="741"/>
        </w:trPr>
        <w:tc>
          <w:tcPr>
            <w:tcW w:w="2405" w:type="dxa"/>
          </w:tcPr>
          <w:p w14:paraId="5AE9077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38D06348" w14:textId="77777777" w:rsidR="00317816" w:rsidRPr="00C24D02" w:rsidRDefault="00317816" w:rsidP="003D1A59">
            <w:pPr>
              <w:tabs>
                <w:tab w:val="left" w:pos="1095"/>
              </w:tabs>
              <w:spacing w:after="144" w:line="360" w:lineRule="auto"/>
              <w:jc w:val="both"/>
              <w:rPr>
                <w:rFonts w:asciiTheme="minorHAnsi" w:eastAsia="Calibri" w:hAnsiTheme="minorHAnsi" w:cstheme="minorHAnsi"/>
              </w:rPr>
            </w:pPr>
            <w:bookmarkStart w:id="24" w:name="_Hlk218595646"/>
            <w:r w:rsidRPr="00C24D02">
              <w:rPr>
                <w:rFonts w:asciiTheme="minorHAnsi" w:eastAsia="Calibri" w:hAnsiTheme="minorHAnsi" w:cstheme="minorHAnsi"/>
              </w:rPr>
              <w:t>Hvězdný posel / Galileo Galilei. Rozprava s Hvězdným poslem / Johannes Kepler</w:t>
            </w:r>
            <w:r w:rsidRPr="00C24D02">
              <w:rPr>
                <w:rFonts w:asciiTheme="minorHAnsi" w:eastAsia="Calibri" w:hAnsiTheme="minorHAnsi" w:cstheme="minorHAnsi"/>
              </w:rPr>
              <w:tab/>
            </w:r>
            <w:bookmarkEnd w:id="24"/>
          </w:p>
        </w:tc>
      </w:tr>
      <w:tr w:rsidR="00317816" w:rsidRPr="00C24D02" w14:paraId="027FAA58" w14:textId="77777777" w:rsidTr="003D1A59">
        <w:trPr>
          <w:trHeight w:val="741"/>
        </w:trPr>
        <w:tc>
          <w:tcPr>
            <w:tcW w:w="2405" w:type="dxa"/>
          </w:tcPr>
          <w:p w14:paraId="44E6EEDF" w14:textId="77777777" w:rsidR="00317816" w:rsidRPr="00C24D02" w:rsidRDefault="00317816" w:rsidP="003D1A59">
            <w:pPr>
              <w:spacing w:after="144" w:line="360" w:lineRule="auto"/>
              <w:rPr>
                <w:rFonts w:asciiTheme="minorHAnsi" w:eastAsia="Calibri" w:hAnsiTheme="minorHAnsi" w:cstheme="minorHAnsi"/>
              </w:rPr>
            </w:pPr>
          </w:p>
        </w:tc>
        <w:tc>
          <w:tcPr>
            <w:tcW w:w="6378" w:type="dxa"/>
          </w:tcPr>
          <w:p w14:paraId="6A66BD79" w14:textId="77777777" w:rsidR="00317816" w:rsidRPr="00C24D02" w:rsidRDefault="00317816" w:rsidP="003D1A59">
            <w:pPr>
              <w:tabs>
                <w:tab w:val="left" w:pos="1095"/>
              </w:tabs>
              <w:spacing w:after="144" w:line="360" w:lineRule="auto"/>
              <w:jc w:val="both"/>
              <w:rPr>
                <w:rFonts w:asciiTheme="minorHAnsi" w:eastAsia="Calibri" w:hAnsiTheme="minorHAnsi" w:cstheme="minorHAnsi"/>
              </w:rPr>
            </w:pPr>
          </w:p>
        </w:tc>
      </w:tr>
      <w:tr w:rsidR="00317816" w:rsidRPr="00C24D02" w14:paraId="739E1997" w14:textId="77777777" w:rsidTr="003D1A59">
        <w:tc>
          <w:tcPr>
            <w:tcW w:w="2405" w:type="dxa"/>
          </w:tcPr>
          <w:p w14:paraId="76B6AE3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94628F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1.3.</w:t>
            </w:r>
          </w:p>
        </w:tc>
      </w:tr>
      <w:tr w:rsidR="00317816" w:rsidRPr="00C24D02" w14:paraId="56AF99D8" w14:textId="77777777" w:rsidTr="003D1A59">
        <w:tc>
          <w:tcPr>
            <w:tcW w:w="2405" w:type="dxa"/>
          </w:tcPr>
          <w:p w14:paraId="1348A6D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6535A95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417A76E2" w14:textId="77777777" w:rsidTr="003D1A59">
        <w:tc>
          <w:tcPr>
            <w:tcW w:w="2405" w:type="dxa"/>
          </w:tcPr>
          <w:p w14:paraId="29ADE8B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42"/>
            </w:r>
            <w:r w:rsidRPr="00C24D02">
              <w:rPr>
                <w:rFonts w:asciiTheme="minorHAnsi" w:eastAsia="Calibri" w:hAnsiTheme="minorHAnsi" w:cstheme="minorHAnsi"/>
              </w:rPr>
              <w:t>)</w:t>
            </w:r>
          </w:p>
        </w:tc>
        <w:tc>
          <w:tcPr>
            <w:tcW w:w="6378" w:type="dxa"/>
          </w:tcPr>
          <w:p w14:paraId="0FC6320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1/2/-/4</w:t>
            </w:r>
          </w:p>
        </w:tc>
      </w:tr>
      <w:tr w:rsidR="00317816" w:rsidRPr="00C24D02" w14:paraId="32EEB2E6" w14:textId="77777777" w:rsidTr="003D1A59">
        <w:tc>
          <w:tcPr>
            <w:tcW w:w="2405" w:type="dxa"/>
          </w:tcPr>
          <w:p w14:paraId="122FA05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8279E3F"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p>
        </w:tc>
      </w:tr>
    </w:tbl>
    <w:p w14:paraId="0A51FD7F" w14:textId="77777777" w:rsidR="00317816" w:rsidRPr="00C24D02" w:rsidRDefault="00317816" w:rsidP="00317816">
      <w:pPr>
        <w:spacing w:after="144" w:line="360" w:lineRule="auto"/>
        <w:rPr>
          <w:rFonts w:asciiTheme="minorHAnsi" w:hAnsiTheme="minorHAnsi" w:cstheme="minorHAnsi"/>
        </w:rPr>
      </w:pPr>
    </w:p>
    <w:p w14:paraId="06769FBF"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Proti hodnocení panelu</w:t>
      </w:r>
    </w:p>
    <w:p w14:paraId="0FDB151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62C5D24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Především nesouhlasím s konečným hodnocením panelu, že posuzovaný výsledek má jen „malý dopad do české společnosti.” Předložená práce, byť zaměřená astronomicky, silně zarezonovala v široké komunitě společenských a humanitních vzdělanců a to zdaleka nejen expertů. Svědčí o tom i fakt, že toto dílo, spolu s dalšími překlady (doplněnými o celkový kontext) klasických astronomických děl od těchto autorů, bylo oceněno Cenou Nadace Dagmar a Václava Havlových VIZE97. Co se týče společenské relevance, asi nejlépe ji vystihuje přímo tisková zpráva VIZE97 k tomuto ocenění (https://www.vize.cz/cena-vize-97-predana-manzelum-hadravovym/), v níž paní Dagmar Havlová uvádí: “Laureáty vybíráme z řad odborníků společně s členy rady Ceny VIZE 97 a pečlivě studujeme jejich dosavadní počiny. Přitom není důležitý obor, ve kterém působí, ale přesah do kulturního, společenského i </w:t>
      </w:r>
      <w:r w:rsidRPr="00C24D02">
        <w:rPr>
          <w:rFonts w:asciiTheme="minorHAnsi" w:hAnsiTheme="minorHAnsi" w:cstheme="minorHAnsi"/>
        </w:rPr>
        <w:lastRenderedPageBreak/>
        <w:t>každodenního života. Manželé Hadravovi patří přesně k těm význačným myslitelům, kteří svým dílem a vizí překračují tradiční rámec vědeckého poznání.“ Dodám snad je fakt, že dílo si svoji cestu k ocenění vysloužilo zájmem, který vzbudilo v komunitě samo, bez nominace Astronomickým ústavem. Naše pochybnosti budí i zcela diametrálně odlišné výsledné hodnocení panelu a dvou nezávislých expertních hodnotitelů, kteří tuto práci posuzovali. Chápeme, že role panelu spočívá v určité homogenizaci hodnocení napříč výsledky z různých oborů a v případném usmíření stanovisek expertních hodnotitelů, pokud tato jsou vzájemně velmi vzdálená. Nicméně, v tomto případě, kdy práce byla hodnocena oběma experty zcela ve shodě jako vysoce kvalitní výsledek s hodnocením známkami „1” a „2”, je konečná známka „4“ přidělená panelem naprosto v rozporu s hodnocením oslovených expertů. Nezpochybňujeme roli panelu v celém systému hodnocení, nicméně při takto diametrálně odlišném výsledku hodnocení vzniká otázka, proč jsou vůbec nezávislí hodnotitelé s žádostí o posudek oslovováni, když jejich stanovisko není ani v základu respektováno.</w:t>
      </w:r>
    </w:p>
    <w:p w14:paraId="5A1FBD7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Hodnotitelé zjevně nepostupovali striktně podle popsaných kritérií společenské relevance. Český překlad, ač o jeho kvalitách nemá oborový panel pochyb, nemůže mít mezinárodní dopad. Panel se proto shodl na hodnocení známkou 4 - výsledek na průměrné úrovni, jehož využití v praxi přinese dílčí změnu s ekonomickým dopadem na českém trhu nebo dílčí změnu s dopadem na českou společnost.</w:t>
      </w:r>
    </w:p>
    <w:p w14:paraId="0EB52EE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Vyjádření Odborného panelu:</w:t>
      </w:r>
      <w:r w:rsidRPr="00C24D02">
        <w:rPr>
          <w:rFonts w:asciiTheme="minorHAnsi" w:hAnsiTheme="minorHAnsi" w:cstheme="minorHAnsi"/>
          <w:b/>
        </w:rPr>
        <w:t xml:space="preserve"> </w:t>
      </w:r>
      <w:r w:rsidRPr="00C24D02">
        <w:rPr>
          <w:rFonts w:asciiTheme="minorHAnsi" w:hAnsiTheme="minorHAnsi" w:cstheme="minorHAnsi"/>
        </w:rPr>
        <w:t>Panel navrhuje námitce nevyhovět a ponechat původní hodnocení stupněm 4.</w:t>
      </w:r>
    </w:p>
    <w:p w14:paraId="57D4A96F" w14:textId="77777777" w:rsidR="00317816" w:rsidRPr="00C24D02" w:rsidRDefault="00317816" w:rsidP="00317816">
      <w:pPr>
        <w:spacing w:before="240" w:after="144" w:line="360" w:lineRule="auto"/>
        <w:jc w:val="both"/>
        <w:rPr>
          <w:rFonts w:asciiTheme="minorHAnsi" w:hAnsiTheme="minorHAnsi" w:cstheme="minorHAnsi"/>
          <w:b/>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rPr>
        <w:t xml:space="preserve"> Panel rozhodoval na základě jazyku výsledku („publikace v češtině nemůže mít hodnocení vyšší než 4“), což je rozporu se zásadami Metodiky.</w:t>
      </w:r>
    </w:p>
    <w:p w14:paraId="1474E18A"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nesouhlasí s vyjádřením panelu a navrhuje výsledek vrátit do hodnocení. Panelistovo zdůvodnění zásadní změny hodnocení, které je v rozporu s hodnocení obou hodnotitelů, není náležitě zdůvodněno. Historický přínos práce je nesporný a oběma hodnotiteli vysoce ceněný. Skutečnost, že výsledek je v češtině, a tudíž má dopad jen na českou společnost, nemůže být důvodem ke snížení známky.</w:t>
      </w:r>
    </w:p>
    <w:p w14:paraId="62FD3948" w14:textId="77777777" w:rsidR="00317816" w:rsidRPr="00C24D02" w:rsidRDefault="00317816" w:rsidP="00317816">
      <w:pPr>
        <w:pStyle w:val="Nadpis1"/>
        <w:spacing w:after="144" w:line="360" w:lineRule="auto"/>
        <w:rPr>
          <w:rFonts w:asciiTheme="minorHAnsi" w:hAnsiTheme="minorHAnsi" w:cstheme="minorHAnsi"/>
          <w:sz w:val="22"/>
          <w:szCs w:val="22"/>
        </w:rPr>
      </w:pP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5BC3CD5" w14:textId="77777777" w:rsidTr="003D1A59">
        <w:tc>
          <w:tcPr>
            <w:tcW w:w="2405" w:type="dxa"/>
          </w:tcPr>
          <w:p w14:paraId="278B6A4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A7A0270" w14:textId="77777777" w:rsidR="00317816" w:rsidRPr="00C24D02" w:rsidRDefault="00317816" w:rsidP="003D1A59">
            <w:pPr>
              <w:spacing w:after="144" w:line="360" w:lineRule="auto"/>
              <w:jc w:val="both"/>
              <w:rPr>
                <w:rFonts w:asciiTheme="minorHAnsi" w:eastAsia="Calibri" w:hAnsiTheme="minorHAnsi" w:cstheme="minorHAnsi"/>
                <w:b/>
                <w:bCs/>
              </w:rPr>
            </w:pPr>
            <w:r w:rsidRPr="00C24D02">
              <w:rPr>
                <w:rFonts w:asciiTheme="minorHAnsi" w:eastAsia="Calibri" w:hAnsiTheme="minorHAnsi" w:cstheme="minorHAnsi"/>
                <w:b/>
                <w:bCs/>
              </w:rPr>
              <w:t>Biologické centrum AV ČR</w:t>
            </w:r>
          </w:p>
        </w:tc>
      </w:tr>
      <w:tr w:rsidR="00317816" w:rsidRPr="00C24D02" w14:paraId="5F50FC77" w14:textId="77777777" w:rsidTr="003D1A59">
        <w:tc>
          <w:tcPr>
            <w:tcW w:w="2405" w:type="dxa"/>
          </w:tcPr>
          <w:p w14:paraId="41768F6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C68E61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192500413</w:t>
            </w:r>
          </w:p>
        </w:tc>
      </w:tr>
      <w:tr w:rsidR="00317816" w:rsidRPr="00C24D02" w14:paraId="1B85A9FD" w14:textId="77777777" w:rsidTr="003D1A59">
        <w:trPr>
          <w:trHeight w:val="741"/>
        </w:trPr>
        <w:tc>
          <w:tcPr>
            <w:tcW w:w="2405" w:type="dxa"/>
          </w:tcPr>
          <w:p w14:paraId="40F24CE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A7D146F" w14:textId="77777777" w:rsidR="00317816" w:rsidRPr="00C24D02" w:rsidRDefault="00317816" w:rsidP="003D1A59">
            <w:pPr>
              <w:spacing w:after="144" w:line="360" w:lineRule="auto"/>
              <w:jc w:val="both"/>
              <w:rPr>
                <w:rFonts w:asciiTheme="minorHAnsi" w:eastAsia="Calibri" w:hAnsiTheme="minorHAnsi" w:cstheme="minorHAnsi"/>
              </w:rPr>
            </w:pPr>
            <w:bookmarkStart w:id="25" w:name="_Hlk218596016"/>
            <w:r w:rsidRPr="00C24D02">
              <w:rPr>
                <w:rFonts w:asciiTheme="minorHAnsi" w:eastAsia="Calibri" w:hAnsiTheme="minorHAnsi" w:cstheme="minorHAnsi"/>
              </w:rPr>
              <w:t>The opportunistic protist, &lt;i&gt;Giardia intestinalis&lt;/i&gt;, occurs in gut-healthy humans in a high-income country</w:t>
            </w:r>
            <w:bookmarkEnd w:id="25"/>
          </w:p>
        </w:tc>
      </w:tr>
      <w:tr w:rsidR="00317816" w:rsidRPr="00C24D02" w14:paraId="684C1079" w14:textId="77777777" w:rsidTr="003D1A59">
        <w:tc>
          <w:tcPr>
            <w:tcW w:w="2405" w:type="dxa"/>
          </w:tcPr>
          <w:p w14:paraId="71D7033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0A3003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317816" w:rsidRPr="00C24D02" w14:paraId="09250ED6" w14:textId="77777777" w:rsidTr="003D1A59">
        <w:tc>
          <w:tcPr>
            <w:tcW w:w="2405" w:type="dxa"/>
          </w:tcPr>
          <w:p w14:paraId="4920F1A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FE2C17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48C46C9E" w14:textId="77777777" w:rsidTr="003D1A59">
        <w:tc>
          <w:tcPr>
            <w:tcW w:w="2405" w:type="dxa"/>
          </w:tcPr>
          <w:p w14:paraId="6DB6CCF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43"/>
            </w:r>
            <w:r w:rsidRPr="00C24D02">
              <w:rPr>
                <w:rFonts w:asciiTheme="minorHAnsi" w:eastAsia="Calibri" w:hAnsiTheme="minorHAnsi" w:cstheme="minorHAnsi"/>
              </w:rPr>
              <w:t>)</w:t>
            </w:r>
          </w:p>
        </w:tc>
        <w:tc>
          <w:tcPr>
            <w:tcW w:w="6378" w:type="dxa"/>
          </w:tcPr>
          <w:p w14:paraId="18E29D9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4/1/4/</w:t>
            </w:r>
            <w:r w:rsidRPr="00C24D02">
              <w:rPr>
                <w:rFonts w:asciiTheme="minorHAnsi" w:eastAsia="Calibri" w:hAnsiTheme="minorHAnsi" w:cstheme="minorHAnsi"/>
                <w:b/>
                <w:bCs/>
              </w:rPr>
              <w:t>4</w:t>
            </w:r>
          </w:p>
        </w:tc>
      </w:tr>
      <w:tr w:rsidR="00317816" w:rsidRPr="00C24D02" w14:paraId="34CC5FA0" w14:textId="77777777" w:rsidTr="003D1A59">
        <w:tc>
          <w:tcPr>
            <w:tcW w:w="2405" w:type="dxa"/>
          </w:tcPr>
          <w:p w14:paraId="3287BD2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C70F74F"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1F7D535F" w14:textId="77777777" w:rsidR="00317816" w:rsidRPr="00C24D02" w:rsidRDefault="00317816" w:rsidP="00317816">
      <w:pPr>
        <w:spacing w:after="144" w:line="360" w:lineRule="auto"/>
        <w:rPr>
          <w:rFonts w:asciiTheme="minorHAnsi" w:hAnsiTheme="minorHAnsi" w:cstheme="minorHAnsi"/>
        </w:rPr>
      </w:pPr>
    </w:p>
    <w:p w14:paraId="25F4199D"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Proti průměrnosti výsledku</w:t>
      </w:r>
    </w:p>
    <w:p w14:paraId="2087550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02D6DCB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Nesouhlasíme se závěrem o „průměrnosti“ a „nízké inovativnosti“. Studie Brožové et al. je svým zaměřením i provedením mimořádně přínosná a představuje významný posun v poznání střevních protistů u zdravé populace, navíc v podmínkách tzv. high-income country. Je třeba zdůraznit, že výzkum byl proveden na gut-healthy dobrovolnících – tedy na skupině, která je v parazitologickém a mikrobiomovém výzkumu zcela výjimečná. Takto rozsáhlá epidemiologická studie, doplněná o paralelní vzorky od zvířat části účastníků, je unikátní nejen v evropském, ale i světovém měřítku…..</w:t>
      </w:r>
    </w:p>
    <w:p w14:paraId="07DD4DA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color w:val="000000"/>
          <w:sz w:val="23"/>
          <w:szCs w:val="23"/>
        </w:rPr>
        <w:t xml:space="preserve"> </w:t>
      </w:r>
      <w:r w:rsidRPr="00C24D02">
        <w:rPr>
          <w:rFonts w:asciiTheme="minorHAnsi" w:hAnsiTheme="minorHAnsi" w:cstheme="minorHAnsi"/>
        </w:rPr>
        <w:t xml:space="preserve">Z uvedených důvodů považujeme závěr o „průměrnosti“ práce za neodůvodněný. Inovativnost této studie nespočívá pouze v metodice, ale především v mimořádnosti studované kohorty – zdravé dospělé populace z prostředí s vysokými příjmy – a ve schopnosti zachytit jemné, ale vědecky zásadní vazby mezi hostitelem a střevními protisty. Takto koncipované studie jsou mimořádně náročné na logistiku, metodické zpracování i interpretaci </w:t>
      </w:r>
      <w:r w:rsidRPr="00C24D02">
        <w:rPr>
          <w:rFonts w:asciiTheme="minorHAnsi" w:hAnsiTheme="minorHAnsi" w:cstheme="minorHAnsi"/>
        </w:rPr>
        <w:lastRenderedPageBreak/>
        <w:t>dat. Výsledky považujeme za nadstandardní a žádáme o přehodnocení hodnocení směrem k vyššímu stupni, který bude odpovídat skutečné hodnotě této práce pro obor.</w:t>
      </w:r>
    </w:p>
    <w:p w14:paraId="4FF8502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Autoři vznesli námitku proti průměrnosti práce. Panel ale došel k závěru, že práce nepřináší žádné nové závěry ve srovnání s pracemi z jiných evropských zemí a metodologicky není inovativní. Proto i nadále panel trvá na známce 4.</w:t>
      </w:r>
    </w:p>
    <w:p w14:paraId="042845F3"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Vyjádření Odborného panelu:</w:t>
      </w:r>
      <w:r w:rsidRPr="00C24D02">
        <w:rPr>
          <w:rFonts w:asciiTheme="minorHAnsi" w:hAnsiTheme="minorHAnsi" w:cstheme="minorHAnsi"/>
          <w:b/>
        </w:rPr>
        <w:t xml:space="preserve"> </w:t>
      </w:r>
      <w:r w:rsidRPr="00C24D02">
        <w:rPr>
          <w:rFonts w:asciiTheme="minorHAnsi" w:hAnsiTheme="minorHAnsi" w:cstheme="minorHAnsi"/>
        </w:rPr>
        <w:t>Panel navrhuje námitce nevyhovět a ponechat původní hodnocení stupněm 4.</w:t>
      </w:r>
    </w:p>
    <w:p w14:paraId="181038A5"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4159E2B7" w14:textId="77777777" w:rsidR="00317816" w:rsidRPr="00C24D02" w:rsidRDefault="00317816" w:rsidP="00317816">
      <w:pPr>
        <w:spacing w:before="240" w:after="144" w:line="360" w:lineRule="auto"/>
        <w:jc w:val="both"/>
        <w:rPr>
          <w:rFonts w:asciiTheme="minorHAnsi" w:hAnsiTheme="minorHAnsi" w:cstheme="minorHAnsi"/>
        </w:rPr>
      </w:pPr>
    </w:p>
    <w:p w14:paraId="3B714823" w14:textId="1361171D" w:rsidR="00317816" w:rsidRPr="003C778F"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Hodnotitel, který udělil nejvyšší hodnocení 1, ve svém posudku uvádí, že „výsledek lze zařadit z hlediska originality, významu a obtížnosti získání jako mezinárodně uznávaný“, což dle stupnice odpovídá hodnocení 3. Hodnocení ostatních hodnotitelů je z procesního pohledu v pořádku.</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385C7D7B" w14:textId="77777777" w:rsidTr="003D1A59">
        <w:tc>
          <w:tcPr>
            <w:tcW w:w="2405" w:type="dxa"/>
          </w:tcPr>
          <w:p w14:paraId="03E92DF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395795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Botanický ústav AV ČR</w:t>
            </w:r>
          </w:p>
        </w:tc>
      </w:tr>
      <w:tr w:rsidR="00317816" w:rsidRPr="00C24D02" w14:paraId="13282FAC" w14:textId="77777777" w:rsidTr="003D1A59">
        <w:tc>
          <w:tcPr>
            <w:tcW w:w="2405" w:type="dxa"/>
          </w:tcPr>
          <w:p w14:paraId="4F46BC1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7AA811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192420181</w:t>
            </w:r>
          </w:p>
        </w:tc>
      </w:tr>
      <w:tr w:rsidR="00317816" w:rsidRPr="00C24D02" w14:paraId="3B938FDE" w14:textId="77777777" w:rsidTr="003D1A59">
        <w:trPr>
          <w:trHeight w:val="741"/>
        </w:trPr>
        <w:tc>
          <w:tcPr>
            <w:tcW w:w="2405" w:type="dxa"/>
          </w:tcPr>
          <w:p w14:paraId="07B98FD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4CEC61F" w14:textId="77777777" w:rsidR="00317816" w:rsidRPr="00C24D02" w:rsidRDefault="00317816" w:rsidP="003D1A59">
            <w:pPr>
              <w:spacing w:after="144" w:line="360" w:lineRule="auto"/>
              <w:jc w:val="both"/>
              <w:rPr>
                <w:rFonts w:asciiTheme="minorHAnsi" w:eastAsia="Calibri" w:hAnsiTheme="minorHAnsi" w:cstheme="minorHAnsi"/>
              </w:rPr>
            </w:pPr>
            <w:bookmarkStart w:id="26" w:name="_Hlk218596092"/>
            <w:r w:rsidRPr="00C24D02">
              <w:rPr>
                <w:rFonts w:asciiTheme="minorHAnsi" w:eastAsia="Calibri" w:hAnsiTheme="minorHAnsi" w:cstheme="minorHAnsi"/>
              </w:rPr>
              <w:t>Hydraulic failure as a primary driver of xylem network evolution in early vascular plants</w:t>
            </w:r>
            <w:bookmarkEnd w:id="26"/>
          </w:p>
        </w:tc>
      </w:tr>
      <w:tr w:rsidR="00317816" w:rsidRPr="00C24D02" w14:paraId="3A507515" w14:textId="77777777" w:rsidTr="003D1A59">
        <w:tc>
          <w:tcPr>
            <w:tcW w:w="2405" w:type="dxa"/>
          </w:tcPr>
          <w:p w14:paraId="2703143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C2A356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317816" w:rsidRPr="00C24D02" w14:paraId="0A625A5D" w14:textId="77777777" w:rsidTr="003D1A59">
        <w:tc>
          <w:tcPr>
            <w:tcW w:w="2405" w:type="dxa"/>
          </w:tcPr>
          <w:p w14:paraId="3BA8825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A9D2A0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323F8CC3" w14:textId="77777777" w:rsidTr="003D1A59">
        <w:tc>
          <w:tcPr>
            <w:tcW w:w="2405" w:type="dxa"/>
          </w:tcPr>
          <w:p w14:paraId="7A31530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44"/>
            </w:r>
            <w:r w:rsidRPr="00C24D02">
              <w:rPr>
                <w:rFonts w:asciiTheme="minorHAnsi" w:eastAsia="Calibri" w:hAnsiTheme="minorHAnsi" w:cstheme="minorHAnsi"/>
              </w:rPr>
              <w:t>)</w:t>
            </w:r>
          </w:p>
        </w:tc>
        <w:tc>
          <w:tcPr>
            <w:tcW w:w="6378" w:type="dxa"/>
          </w:tcPr>
          <w:p w14:paraId="514A80E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w:t>
            </w:r>
            <w:r w:rsidRPr="00C24D02">
              <w:rPr>
                <w:rFonts w:asciiTheme="minorHAnsi" w:eastAsia="Calibri" w:hAnsiTheme="minorHAnsi" w:cstheme="minorHAnsi"/>
                <w:b/>
                <w:bCs/>
              </w:rPr>
              <w:t>2</w:t>
            </w:r>
          </w:p>
        </w:tc>
      </w:tr>
      <w:tr w:rsidR="00317816" w:rsidRPr="00C24D02" w14:paraId="323340D7" w14:textId="77777777" w:rsidTr="003D1A59">
        <w:tc>
          <w:tcPr>
            <w:tcW w:w="2405" w:type="dxa"/>
          </w:tcPr>
          <w:p w14:paraId="4B07D7D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6EFA255"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2.</w:t>
            </w:r>
          </w:p>
        </w:tc>
      </w:tr>
    </w:tbl>
    <w:p w14:paraId="734B4727" w14:textId="77777777" w:rsidR="00317816" w:rsidRPr="00C24D02" w:rsidRDefault="00317816" w:rsidP="00317816">
      <w:pPr>
        <w:spacing w:after="144" w:line="360" w:lineRule="auto"/>
        <w:rPr>
          <w:rFonts w:asciiTheme="minorHAnsi" w:hAnsiTheme="minorHAnsi" w:cstheme="minorHAnsi"/>
        </w:rPr>
      </w:pPr>
    </w:p>
    <w:p w14:paraId="29F59536"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lastRenderedPageBreak/>
        <w:t>Námitka: Nedostatečné zdůvodnění uděleného stupně</w:t>
      </w:r>
    </w:p>
    <w:p w14:paraId="4D69FDC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763987D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Stupeň 2 byl v tomto případě udělen na základě interpretace, která nemá oporu v metodice: ponechám stupeň 1 pro mimořádné objevy se širokým zobecněním v oboru. V popisu kvalitativní stupnice se míra zobecnění jako kritérium nevyskytuje a „význam“ se vztahuje spíše k dopadu výsledku na obor. Hodnotitel navíc sám uvedl, že práce nabízí široce obecně aplikovatelné závěry, navržený stupeň tedy neodpovídá zdůvodnění. Dle definice výsledek zařazený do stupně 2 nedosahuje nejvyšší úrovně excelence (excellent). Posudek však neuvádí, co výsledku do této nejvyšší úrovně chybí. Domníváme se, že přidělení stupně by mělo být podloženo konkrétními a relevantními argumenty.</w:t>
      </w:r>
    </w:p>
    <w:p w14:paraId="181E41E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Autoři ve svém odvolání vznášejí námitku vůči chybějícímu vyjádření jednoho z recenzentů, konkrétně chybějící specifikaci faktorů, které předložené práci brání v tom, aby jí mohl být přiřazen nejvyšší stupeň hodnocení. Panel souhlasí s námitkou, že tato informace v posudku jednoho z recenzentů chybí, a uznává, že by mohla být přínosná jako zpětná vazba pro instituci/výzkumný tým. Absence této informace nicméně není a nebyla relevantní pro proces hodnocení panelem.</w:t>
      </w:r>
    </w:p>
    <w:p w14:paraId="5BD387FF"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Vyjádření Odborného panelu:</w:t>
      </w:r>
      <w:r w:rsidRPr="00C24D02">
        <w:rPr>
          <w:rFonts w:asciiTheme="minorHAnsi" w:hAnsiTheme="minorHAnsi" w:cstheme="minorHAnsi"/>
          <w:b/>
        </w:rPr>
        <w:t xml:space="preserve"> </w:t>
      </w:r>
      <w:r w:rsidRPr="00C24D02">
        <w:rPr>
          <w:rFonts w:asciiTheme="minorHAnsi" w:hAnsiTheme="minorHAnsi" w:cstheme="minorHAnsi"/>
        </w:rPr>
        <w:t>Panel navrhuje námitce nevyhovět a ponechat původní hodnocení stupněm 2.</w:t>
      </w:r>
    </w:p>
    <w:p w14:paraId="5D15213E"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0DE40B3F" w14:textId="0EC07EB1" w:rsidR="00317816" w:rsidRPr="003C778F"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7C21CBE" w14:textId="77777777" w:rsidTr="003D1A59">
        <w:tc>
          <w:tcPr>
            <w:tcW w:w="2405" w:type="dxa"/>
          </w:tcPr>
          <w:p w14:paraId="0090349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373E9AB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Centrum výzkumu Řež</w:t>
            </w:r>
          </w:p>
        </w:tc>
      </w:tr>
      <w:tr w:rsidR="00317816" w:rsidRPr="00C24D02" w14:paraId="56F343CD" w14:textId="77777777" w:rsidTr="003D1A59">
        <w:tc>
          <w:tcPr>
            <w:tcW w:w="2405" w:type="dxa"/>
          </w:tcPr>
          <w:p w14:paraId="6CD5AE8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C94E3C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192433688</w:t>
            </w:r>
          </w:p>
        </w:tc>
      </w:tr>
      <w:tr w:rsidR="00317816" w:rsidRPr="00C24D02" w14:paraId="275E13AC" w14:textId="77777777" w:rsidTr="003D1A59">
        <w:trPr>
          <w:trHeight w:val="741"/>
        </w:trPr>
        <w:tc>
          <w:tcPr>
            <w:tcW w:w="2405" w:type="dxa"/>
          </w:tcPr>
          <w:p w14:paraId="4D7CE8A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4BF594E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Zařízení pro ochranu taveniny ve studeném kelímku inertní atmosférou</w:t>
            </w:r>
          </w:p>
        </w:tc>
      </w:tr>
      <w:tr w:rsidR="00317816" w:rsidRPr="00C24D02" w14:paraId="2E1E59E9" w14:textId="77777777" w:rsidTr="003D1A59">
        <w:tc>
          <w:tcPr>
            <w:tcW w:w="2405" w:type="dxa"/>
          </w:tcPr>
          <w:p w14:paraId="5F25785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B8666B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0000EB90" w14:textId="77777777" w:rsidTr="003D1A59">
        <w:tc>
          <w:tcPr>
            <w:tcW w:w="2405" w:type="dxa"/>
          </w:tcPr>
          <w:p w14:paraId="5D6C0FA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15A1ECA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7F1A6DD7" w14:textId="77777777" w:rsidTr="003D1A59">
        <w:tc>
          <w:tcPr>
            <w:tcW w:w="2405" w:type="dxa"/>
          </w:tcPr>
          <w:p w14:paraId="3E59907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45"/>
            </w:r>
            <w:r w:rsidRPr="00C24D02">
              <w:rPr>
                <w:rFonts w:asciiTheme="minorHAnsi" w:eastAsia="Calibri" w:hAnsiTheme="minorHAnsi" w:cstheme="minorHAnsi"/>
              </w:rPr>
              <w:t>)</w:t>
            </w:r>
          </w:p>
        </w:tc>
        <w:tc>
          <w:tcPr>
            <w:tcW w:w="6378" w:type="dxa"/>
          </w:tcPr>
          <w:p w14:paraId="0D07CB9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5/5/-/</w:t>
            </w:r>
            <w:r w:rsidRPr="00C24D02">
              <w:rPr>
                <w:rFonts w:asciiTheme="minorHAnsi" w:eastAsia="Calibri" w:hAnsiTheme="minorHAnsi" w:cstheme="minorHAnsi"/>
                <w:b/>
                <w:bCs/>
              </w:rPr>
              <w:t>5</w:t>
            </w:r>
          </w:p>
        </w:tc>
      </w:tr>
      <w:tr w:rsidR="00317816" w:rsidRPr="00C24D02" w14:paraId="2BF938F2" w14:textId="77777777" w:rsidTr="003D1A59">
        <w:tc>
          <w:tcPr>
            <w:tcW w:w="2405" w:type="dxa"/>
          </w:tcPr>
          <w:p w14:paraId="33F4D95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34227AF"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5.</w:t>
            </w:r>
          </w:p>
        </w:tc>
      </w:tr>
    </w:tbl>
    <w:p w14:paraId="130A63A0" w14:textId="77777777" w:rsidR="00317816" w:rsidRPr="00C24D02" w:rsidRDefault="00317816" w:rsidP="00317816">
      <w:pPr>
        <w:spacing w:after="144" w:line="360" w:lineRule="auto"/>
        <w:rPr>
          <w:rFonts w:asciiTheme="minorHAnsi" w:hAnsiTheme="minorHAnsi" w:cstheme="minorHAnsi"/>
        </w:rPr>
      </w:pPr>
    </w:p>
    <w:p w14:paraId="109C9E16"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Nepochopení technologie výsledku</w:t>
      </w:r>
    </w:p>
    <w:p w14:paraId="636964D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D4F7F4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Souhlasíme s konstatováním Hodnotitele 1, že jde o jednoduché zařízení, jak je patrné i z jeho popisu: „Zařízení je dvoudílné konstrukce usnadňující sestavu a údržbu. Instalace na studený kelímek je realizována deformačním členem na spodní straně zařízení. Toto konstrukční řešení umožňuje snazší a rychlejší instalaci než předchozí model. Samotný inertní plyn vstupuje skrze otvor ve straně zařízení, kde je poté rozveden do prostoru mezi kelímkem a ochranným sklem“. Jde tedy o vylepšený původní model a předkládaný model byl zapsán jako užitný vzor Úřadem průmyslového vlastnictví (ÚPV). Proto nemůžeme souhlasit s tvrzením, že citujeme „není jasná jedinečnost řešení“. Tu lze implikovat z faktu, že ÚPV výsledek zapsal. Dovolujeme si konstatovat, že jednoduchost konstrukce nemusí být nedostatkem, právě naopak – v tomto případě je jednoduchost výhodou při instalaci zařízení. Celá sestava je pak světově unikátní a umožňuje realizaci světově unikátních experimentů. O tom svědčí i předložený příklad smlouvy o realizaci experimentů pro japonské partnery. Studený kelímek je terminus technicus, čili si dovolujeme rozporovat konstatování Hodnotitele 2, citujeme: „...studený kelímek (pro tavbu? asi pak nebude studený).“ což svědčí o nepochopení této technologie, což nakonec Hodnotitel 2 v závěru svého posudku i připouští, citujeme: „možná jen mému nepochopení“. Nemůžeme proto souhlasit se stupněm hodnocení, protože předložený výsledek, byť je jednoduchý, má zásadní význam pro realizaci experimentů a má navíc mezinárodní přesah. </w:t>
      </w:r>
    </w:p>
    <w:p w14:paraId="4DD380F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Předložená dokumentace byla shledána jako nedostatečná. Popis zařízení a jeho využití je provedeno v rozsahu pouhé jedné strany vč. fotografií. Hodnocení výsledku bylo diskutováno v rámci celého Oborného panelu a námitky obou hodnotitelů byly shledány </w:t>
      </w:r>
      <w:r w:rsidRPr="00C24D02">
        <w:rPr>
          <w:rFonts w:asciiTheme="minorHAnsi" w:hAnsiTheme="minorHAnsi" w:cstheme="minorHAnsi"/>
        </w:rPr>
        <w:lastRenderedPageBreak/>
        <w:t>jako relevantní, vč. námitky H1 ohledně přístupu k hodnocení, je-li předkládaným výsledkem pouze dílčí komponenta složitého technologického celku. Potvrzuji hodnocení úrovní 5.</w:t>
      </w:r>
    </w:p>
    <w:p w14:paraId="46077552"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272CB2B7"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02416FBC" w14:textId="09C906E6" w:rsidR="00317816" w:rsidRPr="003C778F"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Výsledek není dostatečně dokumentován a nejsou jasně prokázány jeho přínosy.</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A643D5C" w14:textId="77777777" w:rsidTr="003D1A59">
        <w:tc>
          <w:tcPr>
            <w:tcW w:w="2405" w:type="dxa"/>
          </w:tcPr>
          <w:p w14:paraId="236820F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CC4866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Česká zemědělská univerzita v Praze -Fakulta životního prostředí</w:t>
            </w:r>
          </w:p>
        </w:tc>
      </w:tr>
      <w:tr w:rsidR="00317816" w:rsidRPr="00C24D02" w14:paraId="74AF2C9B" w14:textId="77777777" w:rsidTr="003D1A59">
        <w:tc>
          <w:tcPr>
            <w:tcW w:w="2405" w:type="dxa"/>
          </w:tcPr>
          <w:p w14:paraId="0292D1A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581EEB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192151479</w:t>
            </w:r>
          </w:p>
        </w:tc>
      </w:tr>
      <w:tr w:rsidR="00317816" w:rsidRPr="00C24D02" w14:paraId="0104F0AE" w14:textId="77777777" w:rsidTr="003D1A59">
        <w:trPr>
          <w:trHeight w:val="741"/>
        </w:trPr>
        <w:tc>
          <w:tcPr>
            <w:tcW w:w="2405" w:type="dxa"/>
          </w:tcPr>
          <w:p w14:paraId="7F4F368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CEB115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Biochar and its Composites for Metal(loid) Removal From Aqueous Solu</w:t>
            </w:r>
          </w:p>
        </w:tc>
      </w:tr>
      <w:tr w:rsidR="00317816" w:rsidRPr="00C24D02" w14:paraId="3FB0D351" w14:textId="77777777" w:rsidTr="003D1A59">
        <w:tc>
          <w:tcPr>
            <w:tcW w:w="2405" w:type="dxa"/>
          </w:tcPr>
          <w:p w14:paraId="3591EDE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A613EB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1.5.</w:t>
            </w:r>
          </w:p>
        </w:tc>
      </w:tr>
      <w:tr w:rsidR="00317816" w:rsidRPr="00C24D02" w14:paraId="6425F0FC" w14:textId="77777777" w:rsidTr="003D1A59">
        <w:tc>
          <w:tcPr>
            <w:tcW w:w="2405" w:type="dxa"/>
          </w:tcPr>
          <w:p w14:paraId="7DA7B18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5525F7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4A698A9A" w14:textId="77777777" w:rsidTr="003D1A59">
        <w:tc>
          <w:tcPr>
            <w:tcW w:w="2405" w:type="dxa"/>
          </w:tcPr>
          <w:p w14:paraId="1E9AE4B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46"/>
            </w:r>
            <w:r w:rsidRPr="00C24D02">
              <w:rPr>
                <w:rFonts w:asciiTheme="minorHAnsi" w:eastAsia="Calibri" w:hAnsiTheme="minorHAnsi" w:cstheme="minorHAnsi"/>
              </w:rPr>
              <w:t>)</w:t>
            </w:r>
          </w:p>
        </w:tc>
        <w:tc>
          <w:tcPr>
            <w:tcW w:w="6378" w:type="dxa"/>
          </w:tcPr>
          <w:p w14:paraId="3744186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r w:rsidRPr="00C24D02">
              <w:rPr>
                <w:rFonts w:asciiTheme="minorHAnsi" w:eastAsia="Calibri" w:hAnsiTheme="minorHAnsi" w:cstheme="minorHAnsi"/>
                <w:b/>
                <w:bCs/>
              </w:rPr>
              <w:t>3</w:t>
            </w:r>
          </w:p>
        </w:tc>
      </w:tr>
      <w:tr w:rsidR="00317816" w:rsidRPr="00C24D02" w14:paraId="12061590" w14:textId="77777777" w:rsidTr="003D1A59">
        <w:tc>
          <w:tcPr>
            <w:tcW w:w="2405" w:type="dxa"/>
          </w:tcPr>
          <w:p w14:paraId="4DF7059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89E7548"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0E75F6F4" w14:textId="77777777" w:rsidR="00317816" w:rsidRPr="00C24D02" w:rsidRDefault="00317816" w:rsidP="00317816">
      <w:pPr>
        <w:spacing w:after="144" w:line="360" w:lineRule="auto"/>
        <w:rPr>
          <w:rFonts w:asciiTheme="minorHAnsi" w:hAnsiTheme="minorHAnsi" w:cstheme="minorHAnsi"/>
        </w:rPr>
      </w:pPr>
    </w:p>
    <w:p w14:paraId="5E8FA69C"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Udělení stupně 2</w:t>
      </w:r>
    </w:p>
    <w:p w14:paraId="47F7A2D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022DCDD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Rádi bychom požádali o přehodnocení hodnocení výsledku Biochar and Its Composites for Metal(loid) Removal From Aqueous Solutions (kapitola v odborné knize Biochar from Biomass and Waste: Fundamentals and Applications). Předkládaný výsledek byl hodnotiteli ohodnocen </w:t>
      </w:r>
      <w:r w:rsidRPr="00C24D02">
        <w:rPr>
          <w:rFonts w:asciiTheme="minorHAnsi" w:hAnsiTheme="minorHAnsi" w:cstheme="minorHAnsi"/>
        </w:rPr>
        <w:lastRenderedPageBreak/>
        <w:t>známkami 2 a 3, přičemž panelista garant se přiklonil ke stupni 3. Jednou z hlavních výtek, která toto rozhodnutí odůvodňuje, je tvrzení, že „většina dat je založena na laboratorních experimentech, což může omezit přímou přenositelnost výsledků do praxe“. Hodnotitel 2 však správně uvádí tento aspekt pouze jako potenciální nedostatek, nikoliv jako prokázané omezení výsledku. V době, kdy se hodnocený výstup připravoval již probíhaly experimenty v reálných podmínkách.</w:t>
      </w:r>
    </w:p>
    <w:p w14:paraId="323FA25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Rádi bychom doplnili, že na uvedenou kapitolu v odborné knize bezprostředně navazovaly terénní studie realizované v rámci stejného projektu, jejichž výsledky potvrdily aplikovatelnost laboratorních poznatků v praxi. Tyto výsledky byly dále rozvinuty a ověřeny prostřednictvím certifikované metodiky NmetC.pdf a užitného vzoru uv033225.pdf, které přímo vycházejí z poznatků shrnutých v hodnocené kapitole. Následující fotografie deklaruje prototypové zařízení, které je reflektováno dosaženými dodatečnými výstupy již zmíněného užitného vzoru (Fuzit), metodiky (NmetC) a také článkem v recenzovaném odborném periodiku (Jimp) Journal of Hazardous Materials Veselska et al. (2022)_LDH_biochar.pdf.</w:t>
      </w:r>
    </w:p>
    <w:p w14:paraId="4E44355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Je zapotřebí také podotknout, že v současnosti na toto téma probíhají další návazné projekty GAČR 23-06776S; https://www.fzp.czu.cz/cs/r-6899-projekty-a-spoluprace/r-6923-projekty/r-19098-stabilni-kompozity-biocharu-s-oxidy-manganu-jako-chytre-reseni-pro-komplexni-pudni-remediaci</w:t>
      </w:r>
    </w:p>
    <w:p w14:paraId="29BED82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 TAČR SS06020124 https://www.fzp.czu.cz/cs/r-6899-projekty-a-spoluprace/r-6923-projekty/r-19334-eliminace-mikropolutantu-v-pitne-vode-pomoci-sorpce-s-naslednou-uv-fotokatalyzou/o-projektu.html.</w:t>
      </w:r>
    </w:p>
    <w:p w14:paraId="1977BEB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Jsme přesvědčeni, že charakter i dopad předkládané kapitoly jsou „z hlediska originality, významu a obtížnosti získání na vynikající mezinárodní úrovni“.</w:t>
      </w:r>
    </w:p>
    <w:p w14:paraId="21DD3FB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Kapitola v odborné knize vznikla ve spolupráci FŽP ČZU s James Hutton Institute (United Kingdom) a prezentované kompozitní materiály (modifikované biochary) byly poslány pro účely výzkumu do renomovaných pracovišť např. USDA, USA (Dr. Thomas Ducey) nebo Bergishe Universiät Wuppertal, D (Dr. Sabri Shaheen), což ve svém hodnocení reflektuje i Hodnotitel 1: “Jak kniha, tak i předkládaná kapitola v odborné knize mají významné mezinárodní ohlasy. Dosažené výsledky daly základ mezinárodní spolupráci s významnými pracovišti v zahraničí“ (79 citací na GoogleScholar).</w:t>
      </w:r>
    </w:p>
    <w:p w14:paraId="3FE1136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Kapitola v odborné knize nepředstavuje pouze doplnění existujících poznatků, ale přinesla originální a významné výsledky, které následně ovlivnily směřování výzkumu i jeho praktické aplikace. Domníváme se proto, že výsledek naplňuje charakteristiku stupně 2 a žádáme o přehodnocení hodnocení na tuto úroveň.</w:t>
      </w:r>
    </w:p>
    <w:p w14:paraId="38B2802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Panel přezkoumal odvolání předkladatelů výsledku Biochar and its Composites for Metal(loid) Removal From Aqueous Solutions a znovu posoudil jeho kvalitu ve vztahu ke kritériu Přínos k poznání a s tím související posudky hodnotitelů. Panel přitom nepřihlížel k nově předloženým informacím, že na kapitolu bezprostředně navázaly terénní experimenty, certifikovaná metodika, užitný vzor a prototypová aplikace technologie. Vypořádání námitek nemůže být založeno na uvádění nových skutečností, které VO opomenula uvést v původním zdůvodnění. Panel neshledal žádné procesní pochybení a trvá na původním zhodnocení výsledku, které na základě předložených podkladů a posudků hodnotitelů rigorózně provedl.</w:t>
      </w:r>
    </w:p>
    <w:p w14:paraId="32EA5BCA"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Vyjádření Odborného panelu:</w:t>
      </w:r>
      <w:r w:rsidRPr="00C24D02">
        <w:rPr>
          <w:rFonts w:asciiTheme="minorHAnsi" w:hAnsiTheme="minorHAnsi" w:cstheme="minorHAnsi"/>
          <w:b/>
        </w:rPr>
        <w:t xml:space="preserve"> </w:t>
      </w:r>
      <w:r w:rsidRPr="00C24D02">
        <w:rPr>
          <w:rFonts w:asciiTheme="minorHAnsi" w:hAnsiTheme="minorHAnsi" w:cstheme="minorHAnsi"/>
        </w:rPr>
        <w:t>Panel navrhuje námitce nevyhovět a ponechat původní hodnocení stupněm 3.</w:t>
      </w:r>
    </w:p>
    <w:p w14:paraId="63D01A24"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0E3911EF" w14:textId="001A5AAF" w:rsidR="00317816" w:rsidRPr="003C778F"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ponecháním původního hodnocení, které bylo uděleno podle stávajících pravidel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3FB890D9" w14:textId="77777777" w:rsidTr="003D1A59">
        <w:tc>
          <w:tcPr>
            <w:tcW w:w="2405" w:type="dxa"/>
          </w:tcPr>
          <w:p w14:paraId="3E71B45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B21835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Česká zemědělská univerzita v Praze - Fakulta lesnická a dřevařská</w:t>
            </w:r>
          </w:p>
        </w:tc>
      </w:tr>
      <w:tr w:rsidR="00317816" w:rsidRPr="00C24D02" w14:paraId="52885C74" w14:textId="77777777" w:rsidTr="003D1A59">
        <w:tc>
          <w:tcPr>
            <w:tcW w:w="2405" w:type="dxa"/>
          </w:tcPr>
          <w:p w14:paraId="2699B26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15E87B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192558533</w:t>
            </w:r>
          </w:p>
        </w:tc>
      </w:tr>
      <w:tr w:rsidR="00317816" w:rsidRPr="00C24D02" w14:paraId="6D107573" w14:textId="77777777" w:rsidTr="003D1A59">
        <w:trPr>
          <w:trHeight w:val="741"/>
        </w:trPr>
        <w:tc>
          <w:tcPr>
            <w:tcW w:w="2405" w:type="dxa"/>
          </w:tcPr>
          <w:p w14:paraId="544FAF2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0000D7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Klistapka / Klíšťapka</w:t>
            </w:r>
          </w:p>
        </w:tc>
      </w:tr>
      <w:tr w:rsidR="00317816" w:rsidRPr="00C24D02" w14:paraId="7869E364" w14:textId="77777777" w:rsidTr="003D1A59">
        <w:tc>
          <w:tcPr>
            <w:tcW w:w="2405" w:type="dxa"/>
          </w:tcPr>
          <w:p w14:paraId="2B76AEF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323330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4.1.</w:t>
            </w:r>
          </w:p>
        </w:tc>
      </w:tr>
      <w:tr w:rsidR="00317816" w:rsidRPr="00C24D02" w14:paraId="1B6AD62C" w14:textId="77777777" w:rsidTr="003D1A59">
        <w:tc>
          <w:tcPr>
            <w:tcW w:w="2405" w:type="dxa"/>
          </w:tcPr>
          <w:p w14:paraId="11456E9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FB0599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3274D05E" w14:textId="77777777" w:rsidTr="003D1A59">
        <w:tc>
          <w:tcPr>
            <w:tcW w:w="2405" w:type="dxa"/>
          </w:tcPr>
          <w:p w14:paraId="6CA70C4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47"/>
            </w:r>
            <w:r w:rsidRPr="00C24D02">
              <w:rPr>
                <w:rFonts w:asciiTheme="minorHAnsi" w:eastAsia="Calibri" w:hAnsiTheme="minorHAnsi" w:cstheme="minorHAnsi"/>
              </w:rPr>
              <w:t>)</w:t>
            </w:r>
          </w:p>
        </w:tc>
        <w:tc>
          <w:tcPr>
            <w:tcW w:w="6378" w:type="dxa"/>
          </w:tcPr>
          <w:p w14:paraId="5F90009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3/1/-/</w:t>
            </w:r>
            <w:r w:rsidRPr="00C24D02">
              <w:rPr>
                <w:rFonts w:asciiTheme="minorHAnsi" w:eastAsia="Calibri" w:hAnsiTheme="minorHAnsi" w:cstheme="minorHAnsi"/>
                <w:b/>
                <w:bCs/>
              </w:rPr>
              <w:t>2</w:t>
            </w:r>
          </w:p>
        </w:tc>
      </w:tr>
      <w:tr w:rsidR="00317816" w:rsidRPr="00C24D02" w14:paraId="42544DB1" w14:textId="77777777" w:rsidTr="003D1A59">
        <w:tc>
          <w:tcPr>
            <w:tcW w:w="2405" w:type="dxa"/>
          </w:tcPr>
          <w:p w14:paraId="466A829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F217A0D"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 xml:space="preserve">Námitka byla akceptována, hodnocení upraveno na stupeň 1. </w:t>
            </w:r>
          </w:p>
        </w:tc>
      </w:tr>
    </w:tbl>
    <w:p w14:paraId="37355AA4" w14:textId="77777777" w:rsidR="00317816" w:rsidRPr="00C24D02" w:rsidRDefault="00317816" w:rsidP="00317816">
      <w:pPr>
        <w:spacing w:after="144" w:line="360" w:lineRule="auto"/>
        <w:rPr>
          <w:rFonts w:asciiTheme="minorHAnsi" w:hAnsiTheme="minorHAnsi" w:cstheme="minorHAnsi"/>
        </w:rPr>
      </w:pPr>
    </w:p>
    <w:p w14:paraId="14E3092B"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 xml:space="preserve">Námitka: Zvýšení hodnocení </w:t>
      </w:r>
    </w:p>
    <w:p w14:paraId="64E363F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027E5D5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color w:val="000000"/>
        </w:rPr>
        <w:t xml:space="preserve"> </w:t>
      </w:r>
      <w:r w:rsidRPr="00C24D02">
        <w:rPr>
          <w:rFonts w:asciiTheme="minorHAnsi" w:hAnsiTheme="minorHAnsi" w:cstheme="minorHAnsi"/>
        </w:rPr>
        <w:t xml:space="preserve">S tímto komentářem však nemůžeme souhlasit, jelikož je ve zjevném rozporu s odůvodněním přínosu výsledku, které předložil v rámci hodnocení její tvůrce. V odůvodnění FLD explicitně uvedla, že </w:t>
      </w:r>
      <w:r w:rsidRPr="00C24D02">
        <w:rPr>
          <w:rFonts w:asciiTheme="minorHAnsi" w:hAnsiTheme="minorHAnsi" w:cstheme="minorHAnsi"/>
          <w:i/>
          <w:iCs/>
        </w:rPr>
        <w:t>„Prak-tické využívání aplikace lze jednoduše dokumentovat doposud více než 40 tis. instalací od uživatelů a současně i rapidním nárůstem rizika onemocnění přenášených klíšťaty, což dokládá potenciál a origi-nalitu Klíšťapky a její využitelnost v praxi“</w:t>
      </w:r>
      <w:r w:rsidRPr="00C24D02">
        <w:rPr>
          <w:rFonts w:asciiTheme="minorHAnsi" w:hAnsiTheme="minorHAnsi" w:cstheme="minorHAnsi"/>
        </w:rPr>
        <w:t>. Zároveň nelze akceptovat tvrzení hodnotitele poukazujícího na zjevnou nesrovnalost, která udává, že „</w:t>
      </w:r>
      <w:r w:rsidRPr="00C24D02">
        <w:rPr>
          <w:rFonts w:asciiTheme="minorHAnsi" w:hAnsiTheme="minorHAnsi" w:cstheme="minorHAnsi"/>
          <w:i/>
          <w:iCs/>
        </w:rPr>
        <w:t xml:space="preserve">aplikace představuje využitelný nástroj, byť pouze informuje o oblastech s konkrétním stupněm rizika“. </w:t>
      </w:r>
      <w:r w:rsidRPr="00C24D02">
        <w:rPr>
          <w:rFonts w:asciiTheme="minorHAnsi" w:hAnsiTheme="minorHAnsi" w:cstheme="minorHAnsi"/>
        </w:rPr>
        <w:t xml:space="preserve">I v této části hodnotitel uvádí zjevně nekompletní informace, jelikož jednou z klíčových částí aplikace je i edukační část, která jasně definuje postupy, jak odstranit přisáté klíště, či popisuje postup při prevenci nebo první pomoci – tedy jakými postupy lze reálně snížit riziko přenosu potenciálně smrtelných nemocí (lymeské boreliózy či klíšťové encefalitidy atd). Na zcela zásadní dopad mobilní aplikace, který je v kontextu tradičního, konzervativního odvětví lesnictví zcela unikátní (co do počtu stažení) upozorňuje ostatně i druhý hodnotitel, hodnotící výsledek známkou 1. V rámci svého hodnocení uvádí, že: </w:t>
      </w:r>
      <w:r w:rsidRPr="00C24D02">
        <w:rPr>
          <w:rFonts w:asciiTheme="minorHAnsi" w:hAnsiTheme="minorHAnsi" w:cstheme="minorHAnsi"/>
          <w:i/>
          <w:iCs/>
        </w:rPr>
        <w:t>„… aplikace je široce využívána – přes 40 000 instalací, pravidelné</w:t>
      </w:r>
      <w:r w:rsidRPr="00C24D02">
        <w:rPr>
          <w:rFonts w:asciiTheme="minorHAnsi" w:hAnsiTheme="minorHAnsi" w:cstheme="minorHAnsi"/>
        </w:rPr>
        <w:t xml:space="preserve">, </w:t>
      </w:r>
      <w:r w:rsidRPr="00C24D02">
        <w:rPr>
          <w:rFonts w:asciiTheme="minorHAnsi" w:hAnsiTheme="minorHAnsi" w:cstheme="minorHAnsi"/>
          <w:i/>
          <w:iCs/>
        </w:rPr>
        <w:t xml:space="preserve">aktualizace, rozšiřování funkcí (včetně plánované verze pro iOS a rozšíření na městské parky). Je určena jak odborníkům (lesníci, zdravotníci), tak široké veřejnosti, což zvyšuje její společenský dopad“. </w:t>
      </w:r>
      <w:r w:rsidRPr="00C24D02">
        <w:rPr>
          <w:rFonts w:asciiTheme="minorHAnsi" w:hAnsiTheme="minorHAnsi" w:cstheme="minorHAnsi"/>
        </w:rPr>
        <w:t xml:space="preserve">A dále, že </w:t>
      </w:r>
      <w:r w:rsidRPr="00C24D02">
        <w:rPr>
          <w:rFonts w:asciiTheme="minorHAnsi" w:hAnsiTheme="minorHAnsi" w:cstheme="minorHAnsi"/>
          <w:i/>
          <w:iCs/>
        </w:rPr>
        <w:t>„… význam aplikace je potvrzen prezentacemi na desítkách odborných i popularizačních akcí, včetně největšího lesnického veletrhu ve střední Evropě (Silva Regina), a četnými mediálními výstupy (TV Nova, CNN Prima, ČT)“</w:t>
      </w:r>
      <w:r w:rsidRPr="00C24D02">
        <w:rPr>
          <w:rFonts w:asciiTheme="minorHAnsi" w:hAnsiTheme="minorHAnsi" w:cstheme="minorHAnsi"/>
        </w:rPr>
        <w:t xml:space="preserve">. Veškeré tyto exaktně popsané skutečnosti dokumentující </w:t>
      </w:r>
      <w:r w:rsidRPr="00C24D02">
        <w:rPr>
          <w:rFonts w:asciiTheme="minorHAnsi" w:hAnsiTheme="minorHAnsi" w:cstheme="minorHAnsi"/>
        </w:rPr>
        <w:lastRenderedPageBreak/>
        <w:t xml:space="preserve">zásadní dopad na veřejnost nebyly hodnotitelem, uvádějícím známku 3, brány v potaz, o čemž svědčí zmíněné tvrzení, kde popisuje chybějící údaje o tom, jak je aplikace využívána. </w:t>
      </w:r>
    </w:p>
    <w:p w14:paraId="44D0647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Dále se domníváme, že by se mělo u tohoto výstupu přihlédnout k zpřesňujícímu výkladu hodnotícího u kritéria „Společenské relevance“ (dle Metodiky 2017+, verze 19 schválená na 367. zasedání Rady pro výzkum, vývoj a inovace dne 30. dubna 2021), kdy „</w:t>
      </w:r>
      <w:r w:rsidRPr="00C24D02">
        <w:rPr>
          <w:rFonts w:asciiTheme="minorHAnsi" w:hAnsiTheme="minorHAnsi" w:cstheme="minorHAnsi"/>
          <w:b/>
          <w:bCs/>
        </w:rPr>
        <w:t>Stupněm 1 je jako výsledek špičkové úrovně hodnocen i výsledek se zásadním společenským nebo ekonomickým dopadem, který vznikl pro specifické potřeby ČR a je publikován v českém jazyce</w:t>
      </w:r>
      <w:r w:rsidRPr="00C24D02">
        <w:rPr>
          <w:rFonts w:asciiTheme="minorHAnsi" w:hAnsiTheme="minorHAnsi" w:cstheme="minorHAnsi"/>
        </w:rPr>
        <w:t>.“…</w:t>
      </w:r>
    </w:p>
    <w:p w14:paraId="09AB257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…Na základě výše uvedených skutečností zdvořile žádáme o přehodnocení tohoto předloženého výstupu na hodnocení „1“ tedy „</w:t>
      </w:r>
      <w:r w:rsidRPr="00C24D02">
        <w:rPr>
          <w:rFonts w:asciiTheme="minorHAnsi" w:hAnsiTheme="minorHAnsi" w:cstheme="minorHAnsi"/>
          <w:b/>
          <w:bCs/>
        </w:rPr>
        <w:t>Výsledek s vysokou mírou originality, jehož využití v praxi je nebo bude vysoce přínosné pro danou aplikační oblast</w:t>
      </w:r>
      <w:r w:rsidRPr="00C24D02">
        <w:rPr>
          <w:rFonts w:asciiTheme="minorHAnsi" w:hAnsiTheme="minorHAnsi" w:cstheme="minorHAnsi"/>
        </w:rPr>
        <w:t xml:space="preserve">. Výsledek má vynikající potenciál pro uplatnění v praxi, konkrétní (budoucí) uplatnění výsledku je zřejmé a </w:t>
      </w:r>
      <w:r w:rsidRPr="00C24D02">
        <w:rPr>
          <w:rFonts w:asciiTheme="minorHAnsi" w:hAnsiTheme="minorHAnsi" w:cstheme="minorHAnsi"/>
          <w:b/>
          <w:bCs/>
        </w:rPr>
        <w:t>je přiměřeně doloženo“</w:t>
      </w:r>
      <w:r w:rsidRPr="00C24D02">
        <w:rPr>
          <w:rFonts w:asciiTheme="minorHAnsi" w:hAnsiTheme="minorHAnsi" w:cstheme="minorHAnsi"/>
        </w:rPr>
        <w:t>.</w:t>
      </w:r>
    </w:p>
    <w:p w14:paraId="05C916D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Při hodnocení výsledků byla snaha přihlédnout i k jejich specifickému rozměru. V případě výsledku 192558533 – "Klistapka / Klíšťapka" byl původně zvolen průměr hodnocení posudků hodnotitelů. Výsledek je velice přínosný a široce uplatněný, i když na počet uživatelů aplikace určené pro širokou veřejnost je nutno pohlížet trochu jinak než na aplikace pro odbornou praxi, kde zástupců z řad uživatelů je podstatně méně. Členové panelu, kteří nejsou předpojatí, se jednotlivě vyjádřili k této námitce a většina z nich se přiklonila k názoru hodnocení zlepšit.</w:t>
      </w:r>
    </w:p>
    <w:p w14:paraId="0E7E941F"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vyhovět a udělit hodnocení 1.</w:t>
      </w:r>
    </w:p>
    <w:p w14:paraId="29052475" w14:textId="77777777" w:rsidR="00317816" w:rsidRPr="00C24D02" w:rsidRDefault="00317816" w:rsidP="00317816">
      <w:pPr>
        <w:spacing w:before="240" w:after="144" w:line="360" w:lineRule="auto"/>
        <w:jc w:val="both"/>
        <w:rPr>
          <w:rFonts w:asciiTheme="minorHAnsi" w:hAnsiTheme="minorHAnsi" w:cstheme="minorHAnsi"/>
          <w:bCs/>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51674102" w14:textId="0E1596BC" w:rsidR="00317816" w:rsidRPr="003C778F"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se změnou hodnocení podle doporučení Odborného panelu.</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3ECD4758" w14:textId="77777777" w:rsidTr="003D1A59">
        <w:tc>
          <w:tcPr>
            <w:tcW w:w="2405" w:type="dxa"/>
          </w:tcPr>
          <w:p w14:paraId="0135B82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04E7770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Česká zemědělská univerzita v Praze - Technická fakulta</w:t>
            </w:r>
          </w:p>
        </w:tc>
      </w:tr>
      <w:tr w:rsidR="00317816" w:rsidRPr="00C24D02" w14:paraId="50EBC205" w14:textId="77777777" w:rsidTr="003D1A59">
        <w:tc>
          <w:tcPr>
            <w:tcW w:w="2405" w:type="dxa"/>
          </w:tcPr>
          <w:p w14:paraId="6436C21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3C17D2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192398473</w:t>
            </w:r>
          </w:p>
        </w:tc>
      </w:tr>
      <w:tr w:rsidR="00317816" w:rsidRPr="00C24D02" w14:paraId="29FAA6C2" w14:textId="77777777" w:rsidTr="003D1A59">
        <w:trPr>
          <w:trHeight w:val="741"/>
        </w:trPr>
        <w:tc>
          <w:tcPr>
            <w:tcW w:w="2405" w:type="dxa"/>
          </w:tcPr>
          <w:p w14:paraId="7F7F2D2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Název</w:t>
            </w:r>
          </w:p>
        </w:tc>
        <w:tc>
          <w:tcPr>
            <w:tcW w:w="6378" w:type="dxa"/>
          </w:tcPr>
          <w:p w14:paraId="4CF339B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Sensitivity analysis of the influence of particle dynamic friction, rolling resistance and volume/shear work ratio on wear loss and friction force using DEM model of dry sand rubber wheel test</w:t>
            </w:r>
          </w:p>
        </w:tc>
      </w:tr>
      <w:tr w:rsidR="00317816" w:rsidRPr="00C24D02" w14:paraId="6B0A0421" w14:textId="77777777" w:rsidTr="003D1A59">
        <w:tc>
          <w:tcPr>
            <w:tcW w:w="2405" w:type="dxa"/>
          </w:tcPr>
          <w:p w14:paraId="0FDC229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B26D01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54817499" w14:textId="77777777" w:rsidTr="003D1A59">
        <w:tc>
          <w:tcPr>
            <w:tcW w:w="2405" w:type="dxa"/>
          </w:tcPr>
          <w:p w14:paraId="7A4D56E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40BD1E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2CCD6307" w14:textId="77777777" w:rsidTr="003D1A59">
        <w:tc>
          <w:tcPr>
            <w:tcW w:w="2405" w:type="dxa"/>
          </w:tcPr>
          <w:p w14:paraId="0562E2F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48"/>
            </w:r>
            <w:r w:rsidRPr="00C24D02">
              <w:rPr>
                <w:rFonts w:asciiTheme="minorHAnsi" w:eastAsia="Calibri" w:hAnsiTheme="minorHAnsi" w:cstheme="minorHAnsi"/>
              </w:rPr>
              <w:t>)</w:t>
            </w:r>
          </w:p>
        </w:tc>
        <w:tc>
          <w:tcPr>
            <w:tcW w:w="6378" w:type="dxa"/>
          </w:tcPr>
          <w:p w14:paraId="3DA98E8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3/3/-/3</w:t>
            </w:r>
          </w:p>
        </w:tc>
      </w:tr>
      <w:tr w:rsidR="00317816" w:rsidRPr="00C24D02" w14:paraId="7917AF8F" w14:textId="77777777" w:rsidTr="003D1A59">
        <w:tc>
          <w:tcPr>
            <w:tcW w:w="2405" w:type="dxa"/>
          </w:tcPr>
          <w:p w14:paraId="5E5CCDC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294FE52D"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1CB6F457" w14:textId="77777777" w:rsidR="00317816" w:rsidRPr="00C24D02" w:rsidRDefault="00317816" w:rsidP="00317816">
      <w:pPr>
        <w:spacing w:after="144" w:line="360" w:lineRule="auto"/>
        <w:rPr>
          <w:rFonts w:asciiTheme="minorHAnsi" w:hAnsiTheme="minorHAnsi" w:cstheme="minorHAnsi"/>
        </w:rPr>
      </w:pPr>
    </w:p>
    <w:p w14:paraId="31C87CF5"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Známka neodpovídá slovnímu hodnocení</w:t>
      </w:r>
    </w:p>
    <w:p w14:paraId="736E843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71D226B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Domníváme se, že závěr hodnotitele, podle něhož se „nejedná o výjimečnou práci“, není v souladu s obsahem posudku ani s objektivními parametry hodnoceného výsledku. </w:t>
      </w:r>
    </w:p>
    <w:p w14:paraId="2623148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Z textu hodnocení jednoznačně vyplývá, že článek byl publikován v kvalitním časopise s impakt faktorem 6,1 (Q1), dosáhl 28 citací během čtyř let, což i hodnotitel označuje za výkon odpovídající špičkovým článkům v dané oblasti.</w:t>
      </w:r>
    </w:p>
    <w:p w14:paraId="2AD6D90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Článek propojuje experimenty a simulace metodou DEM, zavádí pokročilé modelování opotřebení a přináší kvantitativní poznatky o citlivosti parametrů. Autoři navrhují „meta-model“ pro analýzu opotřebení a tření založených na výpočtech pomocí metody DEM. Uvedené poznatky slouží jako vodítko pro akademické pracovníky, inženýry z průmyslu i vývojáře DEM softwaru s cílem zpřesnit predikce opotřebení – což je zásadní pro snižování nákladů, zlepšování konstrukčních návrhů a hlubší porozumění procesům opotřebení. …..</w:t>
      </w:r>
    </w:p>
    <w:p w14:paraId="0F51C46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….Výjimečnost práce dále dokládá skutečnost, že společnost ESSS (Engineering Simulation and Scientific Software Ltd.), vývojář softwaru ROCKYDEM, zařadila výsledky této studie na svůj Custom Portal jako referenční příklad kalibrace modelu DEM pro opotřebení. Toto uznání </w:t>
      </w:r>
      <w:r w:rsidRPr="00C24D02">
        <w:rPr>
          <w:rFonts w:asciiTheme="minorHAnsi" w:hAnsiTheme="minorHAnsi" w:cstheme="minorHAnsi"/>
        </w:rPr>
        <w:lastRenderedPageBreak/>
        <w:t>ze strany samotného vývojáře softwaru dokazuje metodickou kvalitu a inovativnost publikace, což je uvedeno v komentáři k článku.</w:t>
      </w:r>
    </w:p>
    <w:p w14:paraId="4EE886D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Z těchto důvodů se domníváme, že závěr hodnotitele o „nevýjimečnosti“ práce není podložený a je v rozporu s uvedenými fakty. Výsledek splňuje všechny atributy mezinárodně excelentního výzkumu – a to jak z hlediska originality metodiky, obtížnosti výpočtů, tak aplikačního dopadu. </w:t>
      </w:r>
    </w:p>
    <w:p w14:paraId="498A0E1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Proto žádáme o přehodnocení výsledku. </w:t>
      </w:r>
    </w:p>
    <w:p w14:paraId="504B91B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w:t>
      </w:r>
    </w:p>
    <w:p w14:paraId="7E2157D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Námitka akcentuje skutečnost, že článek byl publikován v kvalitním časopise Q1 s vysokým IF a dosáhl vysokého počtu citací. Avšak předmětem hodnocení M1 je článek jako takový, tedy jeho obsah a kvalita. Kvalita periodika, resp. citovanost může být v M1 zohledněna pouze jako podpůrný, nikoliv jako primární argument. (Pozn.: Kvalita periodika je hodnocena v rámci M2.) Ve smyslu kvality vlastního článku H1 konstatuje, že náročnost spočívá v masivním použití dostupné numerické metody (resp. SW) a ve zpracování velkého množství výsledků z výpočtů a experimentů, de facto naladění parametrů metody dle měření na vzorcích, přičemž jsou použity postupy, které jsou správné, avšak běžné v podobných citlivostních studiích. Z hlediska přínosu k poznání je ze strany H1 konstatováno, že se nejedná o výjimečnou práci. Hodnocení H2 je ve smyslu kvality vlastního článku spíše nekonkrétní, zde lze s námitkou souhlasit. Avšak, pozitivní informace v hodnocení H2 se týkají pouze kvality periodika a citovanosti, což jak již bylo uvedeno nelze v M1 považovat za primární argument.</w:t>
      </w:r>
    </w:p>
    <w:p w14:paraId="6033CEC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Z výše uvedených důvodů proto výsledné hodnocení garanta vycházelo primárně z hodnocení H1, které je dle názoru garanta dostatečně konkrétní a udělená známka adekvátní. Hodnocení H2 bylo zohledněno jako podpůrné ve smyslu výsledné známky, která je u obou hodnotitelů souhlasná. Výslednou známku úrovně 3 tedy považuji za adekvátní a potvrzuji proto stávající hodnocení.</w:t>
      </w:r>
    </w:p>
    <w:p w14:paraId="3E91D735"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Vyjádření Odborného panelu:</w:t>
      </w:r>
      <w:r w:rsidRPr="00C24D02">
        <w:rPr>
          <w:rFonts w:asciiTheme="minorHAnsi" w:hAnsiTheme="minorHAnsi" w:cstheme="minorHAnsi"/>
          <w:b/>
        </w:rPr>
        <w:t xml:space="preserve"> </w:t>
      </w:r>
      <w:r w:rsidRPr="00C24D02">
        <w:rPr>
          <w:rFonts w:asciiTheme="minorHAnsi" w:hAnsiTheme="minorHAnsi" w:cstheme="minorHAnsi"/>
        </w:rPr>
        <w:t>Panel navrhuje námitce nevyhovět a ponechat původní hodnocení stupněm 3.</w:t>
      </w:r>
    </w:p>
    <w:p w14:paraId="7BF9D754"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73A27154" w14:textId="6D4475C0" w:rsidR="00317816" w:rsidRPr="003C778F"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lastRenderedPageBreak/>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ponecháním původního hodnocení, které bylo uděleno podle pravidel Metodiky 2017+.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19A6CDB" w14:textId="77777777" w:rsidTr="003D1A59">
        <w:tc>
          <w:tcPr>
            <w:tcW w:w="2405" w:type="dxa"/>
          </w:tcPr>
          <w:p w14:paraId="39E2A1F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66D7E7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České vysoké učení technické v Praze</w:t>
            </w:r>
          </w:p>
        </w:tc>
      </w:tr>
      <w:tr w:rsidR="00317816" w:rsidRPr="00C24D02" w14:paraId="624B835F" w14:textId="77777777" w:rsidTr="003D1A59">
        <w:tc>
          <w:tcPr>
            <w:tcW w:w="2405" w:type="dxa"/>
          </w:tcPr>
          <w:p w14:paraId="4C4EF98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CC7A68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192531479</w:t>
            </w:r>
          </w:p>
        </w:tc>
      </w:tr>
      <w:tr w:rsidR="00317816" w:rsidRPr="00C24D02" w14:paraId="18F72D2A" w14:textId="77777777" w:rsidTr="003D1A59">
        <w:trPr>
          <w:trHeight w:val="741"/>
        </w:trPr>
        <w:tc>
          <w:tcPr>
            <w:tcW w:w="2405" w:type="dxa"/>
          </w:tcPr>
          <w:p w14:paraId="05FBAB8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2F12A7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Upscaling the Poisson-Nernst-Planck equations for ion transport in weakly heterogeneous charged porous media</w:t>
            </w:r>
          </w:p>
        </w:tc>
      </w:tr>
      <w:tr w:rsidR="00317816" w:rsidRPr="00C24D02" w14:paraId="1E3F4393" w14:textId="77777777" w:rsidTr="003D1A59">
        <w:tc>
          <w:tcPr>
            <w:tcW w:w="2405" w:type="dxa"/>
          </w:tcPr>
          <w:p w14:paraId="5D8C697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EB7DA5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1.1.</w:t>
            </w:r>
          </w:p>
        </w:tc>
      </w:tr>
      <w:tr w:rsidR="00317816" w:rsidRPr="00C24D02" w14:paraId="49B802CF" w14:textId="77777777" w:rsidTr="003D1A59">
        <w:tc>
          <w:tcPr>
            <w:tcW w:w="2405" w:type="dxa"/>
          </w:tcPr>
          <w:p w14:paraId="7C10127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FA1B56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171675F7" w14:textId="77777777" w:rsidTr="003D1A59">
        <w:tc>
          <w:tcPr>
            <w:tcW w:w="2405" w:type="dxa"/>
          </w:tcPr>
          <w:p w14:paraId="33509E5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49"/>
            </w:r>
            <w:r w:rsidRPr="00C24D02">
              <w:rPr>
                <w:rFonts w:asciiTheme="minorHAnsi" w:eastAsia="Calibri" w:hAnsiTheme="minorHAnsi" w:cstheme="minorHAnsi"/>
              </w:rPr>
              <w:t>)</w:t>
            </w:r>
          </w:p>
        </w:tc>
        <w:tc>
          <w:tcPr>
            <w:tcW w:w="6378" w:type="dxa"/>
          </w:tcPr>
          <w:p w14:paraId="36D7FD2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1/4/3/4</w:t>
            </w:r>
          </w:p>
        </w:tc>
      </w:tr>
      <w:tr w:rsidR="00317816" w:rsidRPr="00C24D02" w14:paraId="3285899F" w14:textId="77777777" w:rsidTr="003D1A59">
        <w:tc>
          <w:tcPr>
            <w:tcW w:w="2405" w:type="dxa"/>
          </w:tcPr>
          <w:p w14:paraId="53B8473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F90010F"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47FD6530" w14:textId="77777777" w:rsidR="00317816" w:rsidRPr="00C24D02" w:rsidRDefault="00317816" w:rsidP="00317816">
      <w:pPr>
        <w:spacing w:after="144" w:line="360" w:lineRule="auto"/>
        <w:rPr>
          <w:rFonts w:asciiTheme="minorHAnsi" w:hAnsiTheme="minorHAnsi" w:cstheme="minorHAnsi"/>
        </w:rPr>
      </w:pPr>
    </w:p>
    <w:p w14:paraId="5F1FC6C4"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Zlepšit známku z důvodu mezinárodního přesahu</w:t>
      </w:r>
    </w:p>
    <w:p w14:paraId="61192F5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E3AB45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Výsledek byl hodnocen hodnotiteli známkami 1,3,4, panelista se přiklonil k výsledné známce 4. S jeho zdůvodněním nesouhlasíme, neboť nemá oporu v podkladech. Panelista v textu zdůvodnění velice nepřesně uvádí, že "Oba kritičtí hodnotitelé se ale shodují, že se nejedná o výsledek na mezinárodně uznávané úrovni." - Hodnotitel navrhující známku 4 v textu národní úroveň vůbec nezmiňuje, Hodnotitel navrhující známku 3 uvádí "While this is definitely a solid and very respectable paper on an international scale, it does not attain what one might call "breakthrough" level."</w:t>
      </w:r>
    </w:p>
    <w:p w14:paraId="4D243D6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Domníváme se naopak, že výsledek mezinárodní spolupráce, prezentovaný v prestižním mezinárodním časopisu, s mezinárodním ohlasem, přinášející nezpochybnitelný pokrok v oboru, nelze hodnotit známkou 4 (Výsledek, který je z hlediska originality, významu a obtížnosti získání národně uznatelný). </w:t>
      </w:r>
    </w:p>
    <w:p w14:paraId="02535D5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 xml:space="preserve">Na předložený článek navíc nelze pohlížet jen jako na pouhé rozšíření existující metody (Bruna&amp;Chapman). Předložený článek nejen, že např. poukazuje na nedostatky vysoce citované studie autorů z MIT (Schmuck&amp;Bazant, SIAM Appl Math 2015, doi 10.1137/140968082), ale přináší vlastní řešení studovaného problému vedoucí k makroskopickému modelu, který je termodynamicky konzistentní s termodynamikou na mikroskopické úrovni. V článku je explicitně vysvětleno, že použití asymptotických metod a nerovnovážné termodynamiky je zásadní pro modelování pohybu iontů v heterogenním prostředí s vázaným nábojem. To je ilustrováno na problematice modelování chrupavky, kde se již 30 let ví, že užívaná Donnanova teorie je pouze přibližná a nedostatečná. Předkládaný článek Donnanovu teorii nahrazuje, kvantifikuje její chybu a popisuje podmínky, za nichž je původní Donnanova teorie rozumným přiblížením. </w:t>
      </w:r>
      <w:r w:rsidRPr="00C24D02">
        <w:rPr>
          <w:rFonts w:asciiTheme="minorHAnsi" w:hAnsiTheme="minorHAnsi" w:cstheme="minorHAnsi"/>
          <w:b/>
          <w:bCs/>
        </w:rPr>
        <w:t>Jedná se proto nepochybně o výsledek, který je z hlediska originality, významu a obtížnosti získání na špičkové světové úrovni nebo alespoň na vynikající mezinárodní úrovni. Navrhujeme, aby panel zvážil změnu klasifikace.</w:t>
      </w:r>
    </w:p>
    <w:p w14:paraId="532FFDA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Odborný panel setrvává na svém původním rozhodnutí ohledně hodnocení výsledku. Odborný panel trvá na závěru uvedeném v původním hodnocení: „Oba kritičtí hodnotitelé se shodují, že se nejedná o výsledek na mezinárodně uznávané úrovni.“ S přihlédnutím k vyjádřením hodnotitelů, kdy jeden uvádí: „The results appear to be incremental in nature, and the article does not offer a clear conceptual or technical advancement over existing literature,“ a druhý konstatuje: „...yet from purely mathematical viewpoint, the whole analysis is pretty standard and uses fairly classical techniques. While this is definitely a solid and very respectable paper on an international scale, it does not attain what one might call ‘breakthrough’ level,“ nelze celkové hodnocení výsledku upravit na na vyšší známku. Výsledná známka tedy zůstává nezměněna.</w:t>
      </w:r>
    </w:p>
    <w:p w14:paraId="732230CD"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01B73079"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6E5C1A35" w14:textId="76662B95"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ponecháním původního hodnocení, které bylo uděleno podle platných pravidel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547F500" w14:textId="77777777" w:rsidTr="003D1A59">
        <w:tc>
          <w:tcPr>
            <w:tcW w:w="2405" w:type="dxa"/>
          </w:tcPr>
          <w:p w14:paraId="5E66450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47345C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Historický ústav AV ČR</w:t>
            </w:r>
          </w:p>
        </w:tc>
      </w:tr>
      <w:tr w:rsidR="00317816" w:rsidRPr="00C24D02" w14:paraId="7628AFAC" w14:textId="77777777" w:rsidTr="003D1A59">
        <w:tc>
          <w:tcPr>
            <w:tcW w:w="2405" w:type="dxa"/>
          </w:tcPr>
          <w:p w14:paraId="548ECC7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Evidenční číslo</w:t>
            </w:r>
          </w:p>
        </w:tc>
        <w:tc>
          <w:tcPr>
            <w:tcW w:w="6378" w:type="dxa"/>
          </w:tcPr>
          <w:p w14:paraId="0546549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192498119</w:t>
            </w:r>
          </w:p>
        </w:tc>
      </w:tr>
      <w:tr w:rsidR="00317816" w:rsidRPr="00C24D02" w14:paraId="16C24404" w14:textId="77777777" w:rsidTr="003D1A59">
        <w:trPr>
          <w:trHeight w:val="741"/>
        </w:trPr>
        <w:tc>
          <w:tcPr>
            <w:tcW w:w="2405" w:type="dxa"/>
          </w:tcPr>
          <w:p w14:paraId="11E852D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8BFF26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Ethnic Mapping in Central Europe, 1810–1945: The Case of the Czech–German Language Border</w:t>
            </w:r>
          </w:p>
        </w:tc>
      </w:tr>
      <w:tr w:rsidR="00317816" w:rsidRPr="00C24D02" w14:paraId="7C9A7474" w14:textId="77777777" w:rsidTr="003D1A59">
        <w:tc>
          <w:tcPr>
            <w:tcW w:w="2405" w:type="dxa"/>
          </w:tcPr>
          <w:p w14:paraId="35B7F99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DEEC8C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6.1.</w:t>
            </w:r>
          </w:p>
        </w:tc>
      </w:tr>
      <w:tr w:rsidR="00317816" w:rsidRPr="00C24D02" w14:paraId="004B4646" w14:textId="77777777" w:rsidTr="003D1A59">
        <w:tc>
          <w:tcPr>
            <w:tcW w:w="2405" w:type="dxa"/>
          </w:tcPr>
          <w:p w14:paraId="4C727C7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5F1D40C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17C15A95" w14:textId="77777777" w:rsidTr="003D1A59">
        <w:tc>
          <w:tcPr>
            <w:tcW w:w="2405" w:type="dxa"/>
          </w:tcPr>
          <w:p w14:paraId="62D3AA7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50"/>
            </w:r>
            <w:r w:rsidRPr="00C24D02">
              <w:rPr>
                <w:rFonts w:asciiTheme="minorHAnsi" w:eastAsia="Calibri" w:hAnsiTheme="minorHAnsi" w:cstheme="minorHAnsi"/>
              </w:rPr>
              <w:t>)</w:t>
            </w:r>
          </w:p>
        </w:tc>
        <w:tc>
          <w:tcPr>
            <w:tcW w:w="6378" w:type="dxa"/>
          </w:tcPr>
          <w:p w14:paraId="6D3EA80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4/3/-/4</w:t>
            </w:r>
          </w:p>
        </w:tc>
      </w:tr>
      <w:tr w:rsidR="00317816" w:rsidRPr="00C24D02" w14:paraId="22AF425A" w14:textId="77777777" w:rsidTr="003D1A59">
        <w:tc>
          <w:tcPr>
            <w:tcW w:w="2405" w:type="dxa"/>
          </w:tcPr>
          <w:p w14:paraId="6FBCBC9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69C3BCF"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3.</w:t>
            </w:r>
          </w:p>
        </w:tc>
      </w:tr>
    </w:tbl>
    <w:p w14:paraId="38913B7B" w14:textId="77777777" w:rsidR="00317816" w:rsidRPr="00C24D02" w:rsidRDefault="00317816" w:rsidP="00317816">
      <w:pPr>
        <w:spacing w:after="144" w:line="360" w:lineRule="auto"/>
        <w:rPr>
          <w:rFonts w:asciiTheme="minorHAnsi" w:hAnsiTheme="minorHAnsi" w:cstheme="minorHAnsi"/>
        </w:rPr>
      </w:pPr>
    </w:p>
    <w:p w14:paraId="36A3ADC8"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Excelentnost výsledku</w:t>
      </w:r>
    </w:p>
    <w:p w14:paraId="404EB22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615CD4D" w14:textId="77777777" w:rsidR="00317816" w:rsidRPr="00C24D02" w:rsidRDefault="00317816" w:rsidP="00317816">
      <w:pPr>
        <w:spacing w:after="144" w:line="360" w:lineRule="auto"/>
        <w:ind w:firstLine="357"/>
        <w:jc w:val="both"/>
        <w:rPr>
          <w:rFonts w:asciiTheme="minorHAnsi" w:hAnsiTheme="minorHAnsi" w:cstheme="minorHAnsi"/>
        </w:rPr>
      </w:pPr>
    </w:p>
    <w:p w14:paraId="2D71C6D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Celkové hodnocení studie považujeme za zavádějící, neboť se některé výtky hodnotitelů netýkaly vlastního zaměření studie a údajně opomenutou literaturu autoři citují v poznámkovém aparátu. Zatímco hodnocení posudků variuje mezi 3-4, garant se bez podrobnějšího zdůvodnění přiklání k argumentaci méně pozitivního hodnocení a volí horší známku. V mezinárodní evaluaci AV ČR, která byla bohužel ukončena až v průběhu národního hodnocení, byla studie zahraničními posuzovateli jednomyslně hodnocena známkou „excellent“. Z těchto důvodů tedy žádáme změnu známky na stupeň 3, tedy mezinárodně uznatelný výstup…… </w:t>
      </w:r>
    </w:p>
    <w:p w14:paraId="00E6AF2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…Z těchto důvodů žádáme o přehodnocení finální známky hodnocené studie na stupeň 3, tak jak ostatně původně navrhoval jeden z národních hodnotitelů. Chápeme, že panel je ve složité situaci dané zejména chybnou metodikou celého hodnocení. Cizojazyčné studie v případě humanitních věd primárně cílí na mezinárodní publikum, čemuž odpovídá volba tématu a způsob zpracování. Jejich hodnocení domácími badateli tak v podstatě není na místě, </w:t>
      </w:r>
      <w:r w:rsidRPr="00C24D02">
        <w:rPr>
          <w:rFonts w:asciiTheme="minorHAnsi" w:hAnsiTheme="minorHAnsi" w:cstheme="minorHAnsi"/>
        </w:rPr>
        <w:lastRenderedPageBreak/>
        <w:t>neboť nejsou primárními adresáty. Zůstává samo o sobě zavádějící a metodicky těžko obhajitelné, že národní komunita hodnotí impakt a posun v bádání, které studie či knihy českých badatelů mají na mezinárodní úrovni. Toto posouzení by mělo být vyhrazeno zahraničním hodnotitelům, kteří k tomu mají nejen odborné, ale i jazykové kompetence….</w:t>
      </w:r>
    </w:p>
    <w:p w14:paraId="2CD94A3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Námitka se týkala finální známky 4 s tím, že některá slovní hodnocení nebyla adekvátní ke kvalitě výsledku. Překladatel argumentuje dále tím, že v hodnocení mezinárodní panelem na AV ČR dostal příspěvek hodnocení „excelentní“.</w:t>
      </w:r>
    </w:p>
    <w:p w14:paraId="2701404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Hodnotící panel uznává relevanci některých námitek jako např.: </w:t>
      </w:r>
    </w:p>
    <w:p w14:paraId="760AD0E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„Autoři se totiž soustředili pouze na samotné znázornění etnických poměrů na mapách, aniž by se zabývali dosti důležitou otázkou, jak ona podkladová čísla, na jejichž základě ony mapy stojí, vznikla, tedy jakou mají validitu. Jedná se sice o logický, nicméně těžko naplnitelný požadavek, neboť k této analýze neexistují podkladová data, nezachovala se např. korespondence mezi kartografy, nebo jejich deníky. Metoda studie se zcela legitimně zakládala na kvantitativní analýze, což objasnil úvod studie.“</w:t>
      </w:r>
    </w:p>
    <w:p w14:paraId="17FCCA2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Námitku ohledně nezohlednění zaměření výsledku (že se výsledek týkal otázky jazykových map, nikoliv široké problematiky jazykových cenzů) považuje hodnotící panel za irelevantní, neboť obě témata spolu úzce souvisí a jedno bez druhého nedává z hlediska vědecké práce smyslu. Stejně tak panel považuje z formálního hlediska za zcela irelevantní námitku ohledně excelentního hodnocení mezinárodním panelem, neboť institucionální vnitřní hodnocení AV ČR s prováděnou evaluací M17+ nesouvisí. </w:t>
      </w:r>
    </w:p>
    <w:p w14:paraId="57E329A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Hodnotící panel se současně důrazně ohrazuje proti názoru vyjádřeném v námitce, že názor hodnotitelů využitý při hodnocení je z hlediska jazykových a oborových kompetencí v jakémkoliv směru méně validní než názor hodnotitelů využitý při institucionálním hodnocení AV ČR, a to pro jejich tzv. domácí původ. Podobná zavádějící a pro hodnotící panel nepřijatelná tvrzení se v námitkách zasílaných z Historického ústavu AV ČR k hodnocení M17+ objevovala již v minulosti.</w:t>
      </w:r>
    </w:p>
    <w:p w14:paraId="40C0F6E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u w:val="single"/>
        </w:rPr>
        <w:t>Vyjádření Odborného panelu:</w:t>
      </w:r>
      <w:r w:rsidRPr="00C24D02">
        <w:rPr>
          <w:rFonts w:asciiTheme="minorHAnsi" w:hAnsiTheme="minorHAnsi" w:cstheme="minorHAnsi"/>
          <w:b/>
        </w:rPr>
        <w:t xml:space="preserve"> </w:t>
      </w:r>
      <w:r w:rsidRPr="00C24D02">
        <w:rPr>
          <w:rFonts w:asciiTheme="minorHAnsi" w:hAnsiTheme="minorHAnsi" w:cstheme="minorHAnsi"/>
          <w:bCs/>
        </w:rPr>
        <w:t xml:space="preserve">I přes výše uvedené, </w:t>
      </w:r>
      <w:r w:rsidRPr="00C24D02">
        <w:rPr>
          <w:rFonts w:asciiTheme="minorHAnsi" w:hAnsiTheme="minorHAnsi" w:cstheme="minorHAnsi"/>
        </w:rPr>
        <w:t xml:space="preserve">navrhuje panel námitce vyhovět a změnit původní hodnocení na stupeň 3. </w:t>
      </w:r>
    </w:p>
    <w:p w14:paraId="45CDE273"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598DE81C" w14:textId="48A2E7A4"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lastRenderedPageBreak/>
        <w:t>Závěr KHV</w:t>
      </w:r>
      <w:r w:rsidRPr="00C24D02">
        <w:rPr>
          <w:rFonts w:asciiTheme="minorHAnsi" w:hAnsiTheme="minorHAnsi" w:cstheme="minorHAnsi"/>
          <w:b/>
          <w:bCs/>
        </w:rPr>
        <w:t xml:space="preserve">: </w:t>
      </w:r>
      <w:r w:rsidRPr="00C24D02">
        <w:rPr>
          <w:rFonts w:asciiTheme="minorHAnsi" w:hAnsiTheme="minorHAnsi" w:cstheme="minorHAnsi"/>
        </w:rPr>
        <w:t>KHV souhlasí se navrženou změnou původního hodnocení na stupeň 3, který lépe odpovídá škále Metodiky 17+. Zároveň ovšem konstatuje, že argumenty v námitkách Historického ústavu nejsou povětšinou dostatečně konkrétní a směřují k „chybnosti celého hodnocení“, aniž by byla tato „chybnost“ průkazně dokázána. Stejně tak je ale poměrně zmatečná argumentace garanta v panelu, který cituje námitku, jejíž „relevanci uznává“, ovšem citace pochází z textu jednoho z hodnotitelů, ne z námitek podávající instituce, která tuto výtku nekomentuje. Argumentace garanta v tomto bodě vyznívá poměrně ploše.</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D49881B" w14:textId="77777777" w:rsidTr="003D1A59">
        <w:tc>
          <w:tcPr>
            <w:tcW w:w="2405" w:type="dxa"/>
          </w:tcPr>
          <w:p w14:paraId="340E6F8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8D8B94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MATERIÁLOVÝ A METALURGICKÝ VÝZKUM</w:t>
            </w:r>
          </w:p>
        </w:tc>
      </w:tr>
      <w:tr w:rsidR="00317816" w:rsidRPr="00C24D02" w14:paraId="3BF5DA72" w14:textId="77777777" w:rsidTr="003D1A59">
        <w:tc>
          <w:tcPr>
            <w:tcW w:w="2405" w:type="dxa"/>
          </w:tcPr>
          <w:p w14:paraId="28F7321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E48DA9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192516791</w:t>
            </w:r>
          </w:p>
        </w:tc>
      </w:tr>
      <w:tr w:rsidR="00317816" w:rsidRPr="00C24D02" w14:paraId="4128921D" w14:textId="77777777" w:rsidTr="003D1A59">
        <w:trPr>
          <w:trHeight w:val="741"/>
        </w:trPr>
        <w:tc>
          <w:tcPr>
            <w:tcW w:w="2405" w:type="dxa"/>
          </w:tcPr>
          <w:p w14:paraId="61CA253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302E56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Odběrové zařízení pro Small Punch Test (SPT)</w:t>
            </w:r>
          </w:p>
        </w:tc>
      </w:tr>
      <w:tr w:rsidR="00317816" w:rsidRPr="00C24D02" w14:paraId="6E425438" w14:textId="77777777" w:rsidTr="003D1A59">
        <w:tc>
          <w:tcPr>
            <w:tcW w:w="2405" w:type="dxa"/>
          </w:tcPr>
          <w:p w14:paraId="4C7A449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9A7325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2.5</w:t>
            </w:r>
          </w:p>
        </w:tc>
      </w:tr>
      <w:tr w:rsidR="00317816" w:rsidRPr="00C24D02" w14:paraId="7412D954" w14:textId="77777777" w:rsidTr="003D1A59">
        <w:tc>
          <w:tcPr>
            <w:tcW w:w="2405" w:type="dxa"/>
          </w:tcPr>
          <w:p w14:paraId="01A5DFC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5386C3D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34833250" w14:textId="77777777" w:rsidTr="003D1A59">
        <w:tc>
          <w:tcPr>
            <w:tcW w:w="2405" w:type="dxa"/>
          </w:tcPr>
          <w:p w14:paraId="12285DD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51"/>
            </w:r>
            <w:r w:rsidRPr="00C24D02">
              <w:rPr>
                <w:rFonts w:asciiTheme="minorHAnsi" w:eastAsia="Calibri" w:hAnsiTheme="minorHAnsi" w:cstheme="minorHAnsi"/>
              </w:rPr>
              <w:t>)</w:t>
            </w:r>
          </w:p>
        </w:tc>
        <w:tc>
          <w:tcPr>
            <w:tcW w:w="6378" w:type="dxa"/>
          </w:tcPr>
          <w:p w14:paraId="31A57B9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5/5/-/5</w:t>
            </w:r>
          </w:p>
        </w:tc>
      </w:tr>
      <w:tr w:rsidR="00317816" w:rsidRPr="00C24D02" w14:paraId="064E2366" w14:textId="77777777" w:rsidTr="003D1A59">
        <w:tc>
          <w:tcPr>
            <w:tcW w:w="2405" w:type="dxa"/>
          </w:tcPr>
          <w:p w14:paraId="282DF47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6084510"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5.</w:t>
            </w:r>
          </w:p>
        </w:tc>
      </w:tr>
    </w:tbl>
    <w:p w14:paraId="7EB0B673" w14:textId="77777777" w:rsidR="00317816" w:rsidRPr="00C24D02" w:rsidRDefault="00317816" w:rsidP="00317816">
      <w:pPr>
        <w:spacing w:after="144" w:line="360" w:lineRule="auto"/>
        <w:rPr>
          <w:rFonts w:asciiTheme="minorHAnsi" w:hAnsiTheme="minorHAnsi" w:cstheme="minorHAnsi"/>
        </w:rPr>
      </w:pPr>
    </w:p>
    <w:p w14:paraId="5C545508"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 xml:space="preserve">Námitka: </w:t>
      </w:r>
    </w:p>
    <w:p w14:paraId="2A4F0C78"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59E1509"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Tímto podáváme odvolání vůči výslednému hodnocení výše uvedeného výsledku, který byl v rámci Modulu 1 v roce 2024 ohodnocen známkou 5 – podprůměrný výsledek. Domníváme se, že toto hodnocení neodpovídá skutečnému přínosu, rozsahu aplikace ani společenskému dopadu výsledku, a žádáme proto o jeho přehodnocení na stupeň 3 - výsledek na velmi dobré úrovni, s ekonomickým dopadem na českém trhu a společenským přínosem v oblastech veřejného zájmu. I. Reakce na výtky hodnotitelů 1. K tvrzení o nízké novosti řešení Hodnotitelé uvádějí, že zařízení pouze navazuje na princip řešení společnosti Rolls-Royce z 90. let. Tento </w:t>
      </w:r>
      <w:r w:rsidRPr="00C24D02">
        <w:rPr>
          <w:rFonts w:asciiTheme="minorHAnsi" w:hAnsiTheme="minorHAnsi" w:cstheme="minorHAnsi"/>
          <w:bCs/>
        </w:rPr>
        <w:lastRenderedPageBreak/>
        <w:t>výrok nezohledňuje charakter aplikovaného výzkumu, jehož cílem není základní objev, ale technologická inovace zvyšující úroveň, například použitelnosti, bezpečnosti, nebo spolehlivosti v praxi, což je jednoznačně výsledkem naší předložené práce.</w:t>
      </w:r>
    </w:p>
    <w:p w14:paraId="0C99D204"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Novost odběrového zařízení je popsána přímo v přihlášce výsledku a spočívá v souboru konstrukčních a funkčních inovací, které zvyšují přesnost, spolehlivost a uživatelský komfort při odběru vzorků pro metodu Small Punch Test…..</w:t>
      </w:r>
    </w:p>
    <w:p w14:paraId="041A8B78" w14:textId="77777777" w:rsidR="00317816" w:rsidRPr="00C24D02" w:rsidRDefault="00317816" w:rsidP="00317816">
      <w:pPr>
        <w:spacing w:after="144" w:line="360" w:lineRule="auto"/>
        <w:jc w:val="both"/>
        <w:rPr>
          <w:rFonts w:asciiTheme="minorHAnsi" w:hAnsiTheme="minorHAnsi" w:cstheme="minorHAnsi"/>
          <w:b/>
          <w:bCs/>
        </w:rPr>
      </w:pPr>
      <w:r w:rsidRPr="00C24D02">
        <w:rPr>
          <w:rFonts w:asciiTheme="minorHAnsi" w:hAnsiTheme="minorHAnsi" w:cstheme="minorHAnsi"/>
          <w:b/>
          <w:bCs/>
        </w:rPr>
        <w:t>…III. Závěr</w:t>
      </w:r>
    </w:p>
    <w:p w14:paraId="09652DEC"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Výsledek představuje inovativní a prakticky využívané zařízení, které naplňuje účel aplikovaného výzkumu a posiluje kompetence České republiky v oblasti nedestruktivní materiálové diagnostiky. Prokazatelně přispívá ke zvyšování bezpečnosti, prodlužování životnosti zařízení a úsporám provozních nákladů v energetice – tedy má ekonomický i společenský dopadmv národním i mezinárodním kontextu.</w:t>
      </w:r>
    </w:p>
    <w:p w14:paraId="099F7A79"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
          <w:bCs/>
        </w:rPr>
        <w:t>Proto žádáme o přehodnocení výsledku na stupeň 3 (výsledek na velmi dobré úrovni s ekonomickým dopadem na českém trhu a společenským přínosem v oblastech veřejného zájmu).</w:t>
      </w:r>
    </w:p>
    <w:p w14:paraId="462A2F3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Námitka není opodstatněná. Neindikuje ani porušení pravidel, ani nezmiňuje chybné hodnocení, pouze nesouhlasí s udělenou známkou.</w:t>
      </w:r>
    </w:p>
    <w:p w14:paraId="5B62918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Hlavní problém výsledku je úplná absence novosti, což paradoxně zmiňují i autoři. Modernější řídící jednotka či výměna displeje za tlačítka je zcela běžný vývoj, kde není žádná originalita ani nutnost výzkumu. To samé platí o povlakování řezného kotouče – to není inovativnost, podobné vrstvy se aplikují desítky let. Kategorie společenské kritérium vyžaduje novost. Námitka uvádí, že jejich inovace „zvyšuje úroveň, například použitelnosti, bezpečnosti, nebo spolehlivosti v praxi“, to však není nijak doloženo. Zařízení je nepochybně funkční, ale stejně funkční jsou i obdobná řešení stejného problému.</w:t>
      </w:r>
    </w:p>
    <w:p w14:paraId="6F767AA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Toto je hlavní důvod udělení známky 5. </w:t>
      </w:r>
    </w:p>
    <w:p w14:paraId="2F4C4DD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Ostatní námitky (sériovost výroby atd.) jsou jen podružné a nemají vliv na udělení známky, ale krátce je zde okomentujeme. Výsledkem je jedna (či jednotky) měřících sad, na kterých zadavatel provádí standardizovaná měření u zákazníků. Ekonomický či společenský impakt je tak víceméně nulový vyjma zadavatele. Stejné analýzy si mohou zákazníci objednat i jinde. </w:t>
      </w:r>
      <w:r w:rsidRPr="00C24D02">
        <w:rPr>
          <w:rFonts w:asciiTheme="minorHAnsi" w:hAnsiTheme="minorHAnsi" w:cstheme="minorHAnsi"/>
        </w:rPr>
        <w:lastRenderedPageBreak/>
        <w:t>Jeden z oponentů uvedl jako příklad firmu UTMdev, která nabízí totéž a není nijak propojena se zadavatelem (jedná se tedy o konkurenci). To v námitce zjevně nebylo pochopeno. Ekonomický dopad nemusí být čistě finanční, ale využití výsledku v projektu TAČR opravdu není pro společnost velký přínos.</w:t>
      </w:r>
    </w:p>
    <w:p w14:paraId="1D53A7B2"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2D55290A"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1A6EEA84" w14:textId="2C9D69CD" w:rsidR="00317816" w:rsidRPr="00C24D02"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Ztotožňuje se s názorem panelu, že výsledek postrádá originalitu a jeho případný přínos není náležitě doložen.</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71FFD00" w14:textId="77777777" w:rsidTr="003D1A59">
        <w:tc>
          <w:tcPr>
            <w:tcW w:w="2405" w:type="dxa"/>
          </w:tcPr>
          <w:p w14:paraId="2C27943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056D8F5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Nemocnice na Homolce</w:t>
            </w:r>
          </w:p>
        </w:tc>
      </w:tr>
      <w:tr w:rsidR="00317816" w:rsidRPr="00C24D02" w14:paraId="663B4F66" w14:textId="77777777" w:rsidTr="003D1A59">
        <w:tc>
          <w:tcPr>
            <w:tcW w:w="2405" w:type="dxa"/>
          </w:tcPr>
          <w:p w14:paraId="0139DC6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3C8B7A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192519919</w:t>
            </w:r>
          </w:p>
        </w:tc>
      </w:tr>
      <w:tr w:rsidR="00317816" w:rsidRPr="00C24D02" w14:paraId="7F7E474B" w14:textId="77777777" w:rsidTr="003D1A59">
        <w:trPr>
          <w:trHeight w:val="741"/>
        </w:trPr>
        <w:tc>
          <w:tcPr>
            <w:tcW w:w="2405" w:type="dxa"/>
          </w:tcPr>
          <w:p w14:paraId="0C61E27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238FE3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SIMS: Strukturovaný inventář simulovaných příznaků</w:t>
            </w:r>
          </w:p>
        </w:tc>
      </w:tr>
      <w:tr w:rsidR="00317816" w:rsidRPr="00C24D02" w14:paraId="15E81844" w14:textId="77777777" w:rsidTr="003D1A59">
        <w:tc>
          <w:tcPr>
            <w:tcW w:w="2405" w:type="dxa"/>
          </w:tcPr>
          <w:p w14:paraId="2A81FFF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846243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5.1.</w:t>
            </w:r>
          </w:p>
        </w:tc>
      </w:tr>
      <w:tr w:rsidR="00317816" w:rsidRPr="00C24D02" w14:paraId="3F3A61C8" w14:textId="77777777" w:rsidTr="003D1A59">
        <w:tc>
          <w:tcPr>
            <w:tcW w:w="2405" w:type="dxa"/>
          </w:tcPr>
          <w:p w14:paraId="03F7AAB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F5D094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130C0771" w14:textId="77777777" w:rsidTr="003D1A59">
        <w:tc>
          <w:tcPr>
            <w:tcW w:w="2405" w:type="dxa"/>
          </w:tcPr>
          <w:p w14:paraId="3DC5FFD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52"/>
            </w:r>
            <w:r w:rsidRPr="00C24D02">
              <w:rPr>
                <w:rFonts w:asciiTheme="minorHAnsi" w:eastAsia="Calibri" w:hAnsiTheme="minorHAnsi" w:cstheme="minorHAnsi"/>
              </w:rPr>
              <w:t>)</w:t>
            </w:r>
          </w:p>
        </w:tc>
        <w:tc>
          <w:tcPr>
            <w:tcW w:w="6378" w:type="dxa"/>
          </w:tcPr>
          <w:p w14:paraId="6FF487D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4/4/-/4</w:t>
            </w:r>
          </w:p>
        </w:tc>
      </w:tr>
      <w:tr w:rsidR="00317816" w:rsidRPr="00C24D02" w14:paraId="2CEEF222" w14:textId="77777777" w:rsidTr="003D1A59">
        <w:tc>
          <w:tcPr>
            <w:tcW w:w="2405" w:type="dxa"/>
          </w:tcPr>
          <w:p w14:paraId="4F8646B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6D533A42"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65CBDB70" w14:textId="77777777" w:rsidR="00317816" w:rsidRPr="00C24D02" w:rsidRDefault="00317816" w:rsidP="00317816">
      <w:pPr>
        <w:spacing w:after="144" w:line="360" w:lineRule="auto"/>
        <w:rPr>
          <w:rFonts w:asciiTheme="minorHAnsi" w:hAnsiTheme="minorHAnsi" w:cstheme="minorHAnsi"/>
        </w:rPr>
      </w:pPr>
    </w:p>
    <w:p w14:paraId="58AE56C4"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Podjatost hodnotitelů</w:t>
      </w:r>
    </w:p>
    <w:p w14:paraId="3343797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E96AE8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obracíme se na Vás ve věci neobjektivního a diskriminačního hodnocení v rámci Sběru kvalitních výsledku za rok 2024. Hodnocený článek, který byl předkládán naší institucí a též </w:t>
      </w:r>
      <w:r w:rsidRPr="00C24D02">
        <w:rPr>
          <w:rFonts w:asciiTheme="minorHAnsi" w:hAnsiTheme="minorHAnsi" w:cstheme="minorHAnsi"/>
        </w:rPr>
        <w:lastRenderedPageBreak/>
        <w:t>Policejní akademií ČR Attachment style of patients diagnosed with psychogenic nonepileptic seizures at a tertiary Epilepsy Center in the Czech Republic, byl publikován v renomovaném zahraničním impaktovaném žurnálu v kategorii Q2 WoS (Frontiers in Psychiatry 2022, roč. 13. ISSN 1664-0640. doi: 10.3389/fpsyt.2022.1065201). Dle aktuální Metodiky hodnocení 17+/25+ by tak měl spadat mezi excelentní výsledky kategorie Biblio Jimp. Přes objektivní metriku prověřenou náročným a rigorózním recenzním řízením však skončil s neuvěřitelným hodnocením 4. Ačkoli jsou výstupy tohoto typu hodnoceny jako excelentní (většinou známkou 1) uvádí Garant hodnocení, že v tomto případě muselo být „výrazně oslabeno“.</w:t>
      </w:r>
    </w:p>
    <w:p w14:paraId="35B2600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Po detailním seznámení s hodnocením a argumenty hodnotitele vyjadřuje Nemocnice Na Homolce podezření z osobní podjatosti a diskriminace zakládající se pouze na domněnkách hodnotitele a následně uvádí argumenty, které ji k tomu podezření vedly……</w:t>
      </w:r>
    </w:p>
    <w:p w14:paraId="171A2D4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Děkujeme za doplnění informací týkajících se standardizace a validizačních postupů české adaptace metody SIMS. Námitku jsme pečlivě posoudili s ohledem na kritéria Modulu 1 (kategorie společenská relevance) i na podklady hodnotitelů a garanta. Po tomto posouzení však konstatujeme, že původní známka 4 je přiměřená a důvodná, a nebyly identifikovány skutečnosti, které by její úpravu odůvodnily.</w:t>
      </w:r>
    </w:p>
    <w:p w14:paraId="6248D77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1. K rozsahu a kvalitě předložených validačních dat</w:t>
      </w:r>
    </w:p>
    <w:p w14:paraId="1F7F9B3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Námitka uvádí, že standardizační a validační data jsou obsažena v manuálu a že postupy odpovídají požadavkům původního vydavatele. Pro účely hodnocení v M17+ však hodnotitelé vychází pouze z doložených, transparentně publikovaných a recenzovaných informací, které umožňují nezávislé posouzení relevance a dopadů výsledku.</w:t>
      </w:r>
    </w:p>
    <w:p w14:paraId="7D719D4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Z posudků obou hodnotitelů i garanta vyplývá shodný závěr:</w:t>
      </w:r>
    </w:p>
    <w:p w14:paraId="0AAAF3DA" w14:textId="77777777" w:rsidR="00317816" w:rsidRPr="00C24D02" w:rsidRDefault="00317816" w:rsidP="00317816">
      <w:pPr>
        <w:spacing w:after="144" w:line="360" w:lineRule="auto"/>
        <w:ind w:left="709" w:hanging="56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popis validizace v předložených podkladech nebyl dostatečně detailní,</w:t>
      </w:r>
    </w:p>
    <w:p w14:paraId="5B59A3DF" w14:textId="77777777" w:rsidR="00317816" w:rsidRPr="00C24D02" w:rsidRDefault="00317816" w:rsidP="00317816">
      <w:pPr>
        <w:spacing w:after="144" w:line="360" w:lineRule="auto"/>
        <w:ind w:left="709" w:hanging="56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některé klíčové aspekty (instrukce, metodologický postup, struktura validačních dat, analýzy) nebyly popsány způsobem umožňujícím ověřitelné posouzení kvality adaptace,</w:t>
      </w:r>
    </w:p>
    <w:p w14:paraId="18F08C43" w14:textId="77777777" w:rsidR="00317816" w:rsidRPr="00C24D02" w:rsidRDefault="00317816" w:rsidP="00317816">
      <w:pPr>
        <w:spacing w:after="144" w:line="360" w:lineRule="auto"/>
        <w:ind w:left="709" w:hanging="56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studie, na kterou se námitka odkazuje, nebyla recenzovaně publikována, což omezuje její použitelnost v rámci hodnocení dopadu a společenské relevance.</w:t>
      </w:r>
    </w:p>
    <w:p w14:paraId="5F41AF8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Je třeba zdůraznit, že pro účely Modulu 1 není dostačující odkaz na existenci dat či postupů – zásadní je míra jejich doložitelnosti, transparentnosti a recenzního ověření, které umožňují objektivní posouzení kvality a dopadu.</w:t>
      </w:r>
    </w:p>
    <w:p w14:paraId="75F8531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2. K interpretaci společenské relevance</w:t>
      </w:r>
    </w:p>
    <w:p w14:paraId="5298934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Hodnotitelé jednoznačně uznali, že česká adaptace SIMS:</w:t>
      </w:r>
    </w:p>
    <w:p w14:paraId="42565F8F" w14:textId="77777777" w:rsidR="00317816" w:rsidRPr="00C24D02" w:rsidRDefault="00317816" w:rsidP="00317816">
      <w:pPr>
        <w:spacing w:after="144" w:line="360" w:lineRule="auto"/>
        <w:ind w:left="709" w:hanging="56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vyplňuje mezeru na českém trhu metod detekce simulace symptomatologie,</w:t>
      </w:r>
    </w:p>
    <w:p w14:paraId="069CD236" w14:textId="77777777" w:rsidR="00317816" w:rsidRPr="00C24D02" w:rsidRDefault="00317816" w:rsidP="00317816">
      <w:pPr>
        <w:spacing w:after="144" w:line="360" w:lineRule="auto"/>
        <w:ind w:left="709" w:hanging="56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je relevantní pro klinickou a forenzní praxi,</w:t>
      </w:r>
    </w:p>
    <w:p w14:paraId="49390C40" w14:textId="77777777" w:rsidR="00317816" w:rsidRPr="00C24D02" w:rsidRDefault="00317816" w:rsidP="00317816">
      <w:pPr>
        <w:spacing w:after="144" w:line="360" w:lineRule="auto"/>
        <w:ind w:left="709" w:hanging="56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má potenciální pozitivní dopad na diagnostiku v psychiatrii, psychologii a kriminalistice.</w:t>
      </w:r>
    </w:p>
    <w:p w14:paraId="2C97DAA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Současně se však shodli, že:</w:t>
      </w:r>
    </w:p>
    <w:p w14:paraId="58AC059E" w14:textId="77777777" w:rsidR="00317816" w:rsidRPr="00C24D02" w:rsidRDefault="00317816" w:rsidP="00317816">
      <w:pPr>
        <w:spacing w:after="144" w:line="360" w:lineRule="auto"/>
        <w:ind w:left="709" w:hanging="56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vzhledem k omezené transparentnosti validačního procesu je spolehlivost plného využití metody v praxi zatím omezená,</w:t>
      </w:r>
    </w:p>
    <w:p w14:paraId="5A606D24" w14:textId="77777777" w:rsidR="00317816" w:rsidRPr="00C24D02" w:rsidRDefault="00317816" w:rsidP="00317816">
      <w:pPr>
        <w:spacing w:after="144" w:line="360" w:lineRule="auto"/>
        <w:ind w:left="709" w:hanging="56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využitelnost metody je primárně lokální, bez prokazatelného mezinárodního dopadu,</w:t>
      </w:r>
    </w:p>
    <w:p w14:paraId="4047E9C0" w14:textId="77777777" w:rsidR="00317816" w:rsidRPr="00C24D02" w:rsidRDefault="00317816" w:rsidP="00317816">
      <w:pPr>
        <w:spacing w:after="144" w:line="360" w:lineRule="auto"/>
        <w:ind w:left="709" w:hanging="56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doložené informace nestačí k prokázání významného či zásadního společenského dopadu, jak je požadováno pro vyšší stupně hodnocení.</w:t>
      </w:r>
    </w:p>
    <w:p w14:paraId="21DF454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Námitka argumentuje mezinárodní využitelností, avšak tato možnost není doložena ani publikacemi, ani konkrétními aplikacemi mimo ČR, a proto ji nelze pro účely hodnocení zohlednit.</w:t>
      </w:r>
    </w:p>
    <w:p w14:paraId="0D71055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3. Závěr</w:t>
      </w:r>
    </w:p>
    <w:p w14:paraId="43E79B7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Po opětovném posouzení všech dostupných materiálů konstatujeme:</w:t>
      </w:r>
    </w:p>
    <w:p w14:paraId="27435C60" w14:textId="77777777" w:rsidR="00317816" w:rsidRPr="00C24D02" w:rsidRDefault="00317816" w:rsidP="00317816">
      <w:pPr>
        <w:spacing w:after="144" w:line="360" w:lineRule="auto"/>
        <w:ind w:left="709" w:hanging="56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Hodnotitelé i garant se shodli na přiměřeném, avšak omezeném dopadu výsledku, odpovídajícím stupni 4 škály společenské relevance.</w:t>
      </w:r>
    </w:p>
    <w:p w14:paraId="5E3BA14B" w14:textId="77777777" w:rsidR="00317816" w:rsidRPr="00C24D02" w:rsidRDefault="00317816" w:rsidP="00317816">
      <w:pPr>
        <w:spacing w:after="144" w:line="360" w:lineRule="auto"/>
        <w:ind w:left="709" w:hanging="56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Námitka nepřináší nové informace, které by měly potenciál zásadně změnit odborný závěr posuzovatelů.</w:t>
      </w:r>
    </w:p>
    <w:p w14:paraId="30A7B2F5" w14:textId="77777777" w:rsidR="00317816" w:rsidRPr="00C24D02" w:rsidRDefault="00317816" w:rsidP="00317816">
      <w:pPr>
        <w:spacing w:after="144" w:line="360" w:lineRule="auto"/>
        <w:ind w:left="709" w:hanging="56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Nedoložené či nepublikované údaje nemohou být v rámci M17+ považovány za rovnocenné transparentně publikovaným validačním podkladům.</w:t>
      </w:r>
    </w:p>
    <w:p w14:paraId="2C892C62"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lastRenderedPageBreak/>
        <w:t>Vyjádření Odborného panelu:</w:t>
      </w:r>
      <w:r w:rsidRPr="00C24D02">
        <w:rPr>
          <w:rFonts w:asciiTheme="minorHAnsi" w:hAnsiTheme="minorHAnsi" w:cstheme="minorHAnsi"/>
          <w:b/>
        </w:rPr>
        <w:t xml:space="preserve"> </w:t>
      </w:r>
      <w:r w:rsidRPr="00C24D02">
        <w:rPr>
          <w:rFonts w:asciiTheme="minorHAnsi" w:hAnsiTheme="minorHAnsi" w:cstheme="minorHAnsi"/>
        </w:rPr>
        <w:t>Panel navrhuje námitce nevyhovět a ponechat původní hodnocení stupněm 4.</w:t>
      </w:r>
    </w:p>
    <w:p w14:paraId="25787B1A"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0E53AAB0" w14:textId="2DF0B48A" w:rsidR="00317816" w:rsidRPr="00C24D02"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vyjádřením Odborného panelu námitce nevyhovět a ponecháním původního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C9C6987" w14:textId="77777777" w:rsidTr="003D1A59">
        <w:tc>
          <w:tcPr>
            <w:tcW w:w="2405" w:type="dxa"/>
          </w:tcPr>
          <w:p w14:paraId="3AC7E2D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1559E0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Nemocnice na Homolce</w:t>
            </w:r>
          </w:p>
        </w:tc>
      </w:tr>
      <w:tr w:rsidR="00317816" w:rsidRPr="00C24D02" w14:paraId="20A60843" w14:textId="77777777" w:rsidTr="003D1A59">
        <w:tc>
          <w:tcPr>
            <w:tcW w:w="2405" w:type="dxa"/>
          </w:tcPr>
          <w:p w14:paraId="47894AF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90DC75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192519920</w:t>
            </w:r>
          </w:p>
        </w:tc>
      </w:tr>
      <w:tr w:rsidR="00317816" w:rsidRPr="00C24D02" w14:paraId="75C5C50C" w14:textId="77777777" w:rsidTr="003D1A59">
        <w:trPr>
          <w:trHeight w:val="741"/>
        </w:trPr>
        <w:tc>
          <w:tcPr>
            <w:tcW w:w="2405" w:type="dxa"/>
          </w:tcPr>
          <w:p w14:paraId="1C97C54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05785E4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NAB: Baterie pro neuropsychologické vyšetření</w:t>
            </w:r>
          </w:p>
        </w:tc>
      </w:tr>
      <w:tr w:rsidR="00317816" w:rsidRPr="00C24D02" w14:paraId="4059B833" w14:textId="77777777" w:rsidTr="003D1A59">
        <w:tc>
          <w:tcPr>
            <w:tcW w:w="2405" w:type="dxa"/>
          </w:tcPr>
          <w:p w14:paraId="3F2555D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65B1C4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5.1.</w:t>
            </w:r>
          </w:p>
        </w:tc>
      </w:tr>
      <w:tr w:rsidR="00317816" w:rsidRPr="00C24D02" w14:paraId="4A6467F4" w14:textId="77777777" w:rsidTr="003D1A59">
        <w:tc>
          <w:tcPr>
            <w:tcW w:w="2405" w:type="dxa"/>
          </w:tcPr>
          <w:p w14:paraId="4CFC4A8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5C3FA4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552BA6CF" w14:textId="77777777" w:rsidTr="003D1A59">
        <w:tc>
          <w:tcPr>
            <w:tcW w:w="2405" w:type="dxa"/>
          </w:tcPr>
          <w:p w14:paraId="08F4DB6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53"/>
            </w:r>
            <w:r w:rsidRPr="00C24D02">
              <w:rPr>
                <w:rFonts w:asciiTheme="minorHAnsi" w:eastAsia="Calibri" w:hAnsiTheme="minorHAnsi" w:cstheme="minorHAnsi"/>
              </w:rPr>
              <w:t>)</w:t>
            </w:r>
          </w:p>
        </w:tc>
        <w:tc>
          <w:tcPr>
            <w:tcW w:w="6378" w:type="dxa"/>
          </w:tcPr>
          <w:p w14:paraId="3491B72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1/4/4/4</w:t>
            </w:r>
          </w:p>
        </w:tc>
      </w:tr>
      <w:tr w:rsidR="00317816" w:rsidRPr="00C24D02" w14:paraId="20F4917D" w14:textId="77777777" w:rsidTr="003D1A59">
        <w:tc>
          <w:tcPr>
            <w:tcW w:w="2405" w:type="dxa"/>
          </w:tcPr>
          <w:p w14:paraId="06AB3F0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29D8B44"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617E1D88" w14:textId="77777777" w:rsidR="00317816" w:rsidRPr="00C24D02" w:rsidRDefault="00317816" w:rsidP="00317816">
      <w:pPr>
        <w:spacing w:after="144" w:line="360" w:lineRule="auto"/>
        <w:rPr>
          <w:rFonts w:asciiTheme="minorHAnsi" w:hAnsiTheme="minorHAnsi" w:cstheme="minorHAnsi"/>
        </w:rPr>
      </w:pPr>
    </w:p>
    <w:p w14:paraId="3E3FE24B"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Podjatost hodnotitelů</w:t>
      </w:r>
    </w:p>
    <w:p w14:paraId="33D922B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C15037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Českým psychologům a neuropsychologům, pracujícím v klinické praxi i výzkumu se poprvé v historii dostává do rukou komplexní, ucelená neuropsychologická baterie. Projekt převodu NAB do českého prostředí podnítila absence adaptované komplexní neuropsychologické baterie, jejíž česká verze by měla ošetřena licenční práva s původním vydavatelem a měla paralelní verze pro opakované testování a jejíž normy by vycházely z jednoho normativního souboru. Baterie obsahuje 6 modulů: Screeningový modul, Modul Pozornost, Modul Jazyk, Modul Paměť, Modul Prostorové funkce a Modul Exekutivní funkce, každý z nich ve Verzi 1 a Verzi 2 s příslušnými podnětovými sešity, testovými sešity, záznamovými archy, testovými </w:t>
      </w:r>
      <w:r w:rsidRPr="00C24D02">
        <w:rPr>
          <w:rFonts w:asciiTheme="minorHAnsi" w:hAnsiTheme="minorHAnsi" w:cstheme="minorHAnsi"/>
        </w:rPr>
        <w:lastRenderedPageBreak/>
        <w:t>pomůckami a skórovacími šablonami. Všechny tyto materiály jsou adaptovány pro českou populaci.</w:t>
      </w:r>
    </w:p>
    <w:p w14:paraId="3D33EA2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Na počátku roku 2016, kdy byla zahájena práce na převodu NAB, byly pro českou klinickou praxi dostupné metody, které jsou inteligenčními testy či jsou úžeji zaměřeny na specifické kognitivní funkce. V České republice však chyběla komplexní neuropsychologická baterie s kvalitními psychometrickými vlastnostmi, kterou by bylo možné upravovat dle potřeb konkrétního vyšetření. NAB všechny tyto charakteristiky splňuje. Česká verze NAB pro pro české psychology, klinické psychology a neuropsychology představuje užitečný a přínosný klinický i výzkumný nástroj. Navíc umožní získaná data publikovat v mezinárodním prostředí a umožní tak srovnatelnost výsledků u rozmanitých klinických souborů. Adaptace metody NAB zásadním způsobem rozvinula neuropsychologickou diagnostiku v ČR.</w:t>
      </w:r>
    </w:p>
    <w:p w14:paraId="0BAA3A1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Ad „Licenci získala komerční firma nikoliv přímo akademická instituce,“</w:t>
      </w:r>
    </w:p>
    <w:p w14:paraId="1C83B4D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Metoda NAB je vydána největším vydavatelem testů v ČR, který získal licenční práva. V klinické praxi není možné užívat testy bez ošetřených licenčních práv. Není tedy v klinické psychologii běžné, že by vědecká instituce získala licenční práva k takto rozsáhlým diagnostickým metodám a následně je distribuovala. Zahraniční vydavatelé diagnostických metod jednají jen s etablovanými a seriózními vydavatelstvími testů, s nimiž mají dlouholetou a úspěšnou spolupráci. </w:t>
      </w:r>
    </w:p>
    <w:p w14:paraId="03BC605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Ad „je předkládán manuál k diagnostické metodě jako reprezentace celé metody“</w:t>
      </w:r>
    </w:p>
    <w:p w14:paraId="6CC895B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Hodnotitelům nebylo možné zpřístupnit s ohledem na rozsah baterie všechny materiály, navíc předpokladem byla znalost dané metody hodnotícími odborníky z mezinárodního prostředí a zahraničních pracovišť. Z toho důvodu byl do hodnotícího systému nahrán jen manuál.</w:t>
      </w:r>
    </w:p>
    <w:p w14:paraId="66254CF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Další argumenty k negativním posudkům z Manuálu NAB k české adaptaci a validizaci: </w:t>
      </w:r>
    </w:p>
    <w:p w14:paraId="4006DA1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Ad „autoři české verze se ani nepokoušejí odůvodnit takovýto postup….. Je přitom zjevné, že verbální část baterie nemůže být porovnatelná s původní……“ absence české normativní studie a psychometrického ověření překladu v domácím kontextu. Manuál se odvolává výhradně na původní americké normy bez argumentace jejich aplikovatelnosti na českou populaci………. chybí jakýkoliv pokus o teoretické či empirické zdůvodnění přenositelnosti původních norem“…………..</w:t>
      </w:r>
    </w:p>
    <w:p w14:paraId="61E9012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 xml:space="preserve">Obrátili jsme se tedy na naše přední fakultní a klinická pracoviště v ČR 50) i na Slovensku, ale i na jednotlivé specialisty, kteří mohou pro svou práci baterii využít, s nabídkou spolupráce při PROJEKTU NAB, jehož cílem je především získání kvalitních dat pro vytvoření českých norem. </w:t>
      </w:r>
    </w:p>
    <w:p w14:paraId="42DD8DA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Vzhledem k rozsahu a náročnosti práce na adaptaci baterie nebylo možné české normy bez Projektu NAB a bez předchozího vydání metody nasbírat. </w:t>
      </w:r>
    </w:p>
    <w:p w14:paraId="4891309D"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u w:val="single"/>
        </w:rPr>
        <w:t>Stanovisko garanta</w:t>
      </w:r>
      <w:r w:rsidRPr="00C24D02">
        <w:rPr>
          <w:rFonts w:asciiTheme="minorHAnsi" w:hAnsiTheme="minorHAnsi" w:cstheme="minorHAnsi"/>
        </w:rPr>
        <w:t xml:space="preserve">: </w:t>
      </w:r>
      <w:r w:rsidRPr="00C24D02">
        <w:rPr>
          <w:rFonts w:asciiTheme="minorHAnsi" w:hAnsiTheme="minorHAnsi" w:cstheme="minorHAnsi"/>
          <w:bCs/>
        </w:rPr>
        <w:t>Děkujeme za obsáhlé doplnění informací o převodu a zpracování české verze NAB. Pečlivě jsme přezkoumali jak pozitivní stránky adaptace, tak i doplněné argumenty, a to ve vazbě na kritéria Modulu 1 (společenská relevance). Po tomto přezkumu konstatujeme, že přínos výstupu jako potenciálně užitečného nástroje je zřejmý, avšak z předložených podkladů nevyplývají dostatečné důvody pro změnu původního hodnocení (známka 4). Níže uvádíme shrnutí důvodů.</w:t>
      </w:r>
    </w:p>
    <w:p w14:paraId="0502E02A"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1) Silné stránky — uznání potenciálu</w:t>
      </w:r>
    </w:p>
    <w:p w14:paraId="5A5E58AA" w14:textId="77777777" w:rsidR="00317816" w:rsidRPr="00C24D02" w:rsidRDefault="00317816" w:rsidP="00317816">
      <w:pPr>
        <w:numPr>
          <w:ilvl w:val="0"/>
          <w:numId w:val="25"/>
        </w:numPr>
        <w:spacing w:before="240" w:after="144" w:line="360" w:lineRule="auto"/>
        <w:jc w:val="both"/>
        <w:rPr>
          <w:rFonts w:asciiTheme="minorHAnsi" w:hAnsiTheme="minorHAnsi" w:cstheme="minorHAnsi"/>
          <w:bCs/>
        </w:rPr>
      </w:pPr>
      <w:r w:rsidRPr="00C24D02">
        <w:rPr>
          <w:rFonts w:asciiTheme="minorHAnsi" w:hAnsiTheme="minorHAnsi" w:cstheme="minorHAnsi"/>
          <w:bCs/>
        </w:rPr>
        <w:t>Adaptace rozsáhlé, mezinárodně uznávané baterie představuje významný profesní počin a adresuje skutečnou mezeru na českém trhu komplexních neuropsychologických nástrojů.</w:t>
      </w:r>
    </w:p>
    <w:p w14:paraId="707C4E71" w14:textId="77777777" w:rsidR="00317816" w:rsidRPr="00C24D02" w:rsidRDefault="00317816" w:rsidP="00317816">
      <w:pPr>
        <w:numPr>
          <w:ilvl w:val="0"/>
          <w:numId w:val="25"/>
        </w:numPr>
        <w:spacing w:before="240" w:after="144" w:line="360" w:lineRule="auto"/>
        <w:jc w:val="both"/>
        <w:rPr>
          <w:rFonts w:asciiTheme="minorHAnsi" w:hAnsiTheme="minorHAnsi" w:cstheme="minorHAnsi"/>
          <w:bCs/>
        </w:rPr>
      </w:pPr>
      <w:r w:rsidRPr="00C24D02">
        <w:rPr>
          <w:rFonts w:asciiTheme="minorHAnsi" w:hAnsiTheme="minorHAnsi" w:cstheme="minorHAnsi"/>
          <w:bCs/>
        </w:rPr>
        <w:t>Postup překladu, jazykové korektury a spolupráce s odborníky (např. ÚČNK) jsou pozitivní kroky a svědčí o profesionalitě autorského týmu.</w:t>
      </w:r>
    </w:p>
    <w:p w14:paraId="6BDA3956" w14:textId="77777777" w:rsidR="00317816" w:rsidRPr="00C24D02" w:rsidRDefault="00317816" w:rsidP="00317816">
      <w:pPr>
        <w:numPr>
          <w:ilvl w:val="0"/>
          <w:numId w:val="25"/>
        </w:numPr>
        <w:spacing w:before="240" w:after="144" w:line="360" w:lineRule="auto"/>
        <w:jc w:val="both"/>
        <w:rPr>
          <w:rFonts w:asciiTheme="minorHAnsi" w:hAnsiTheme="minorHAnsi" w:cstheme="minorHAnsi"/>
          <w:bCs/>
        </w:rPr>
      </w:pPr>
      <w:r w:rsidRPr="00C24D02">
        <w:rPr>
          <w:rFonts w:asciiTheme="minorHAnsi" w:hAnsiTheme="minorHAnsi" w:cstheme="minorHAnsi"/>
          <w:bCs/>
        </w:rPr>
        <w:t>Uvedení české verze umožní v budoucnu sběr dat pro tvorbu vlastních norem a mezinárodní srovnávání.</w:t>
      </w:r>
    </w:p>
    <w:p w14:paraId="2DD694D9"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Tyto skutečnosti byly v posudcích oceněny a jsou správně uvedeny i v námitce.</w:t>
      </w:r>
    </w:p>
    <w:p w14:paraId="1C19255F"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2) Proč je současný důkaz o společenské relevanci nedostatečný</w:t>
      </w:r>
    </w:p>
    <w:p w14:paraId="0BBB6D81"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Aby bylo možné v rámci Modulu 1 hodnotit výstup jako reálně realizovaný a tedy přiřadit vyšší známku v kritériu společenské relevance, je potřeba prokázat víc než technicky kvalitní převod manuálu. Hodnotící panel se zaměřuje na skutečně doložené dopady v praxi (rozšířenost užívání, školení uživatelů, potvrzené změny v klinické praxi, rozsah využití u cílových skupin). V tomto ohledu předložené podklady vykazují zásadní omezení:</w:t>
      </w:r>
    </w:p>
    <w:p w14:paraId="3064A5FC" w14:textId="77777777" w:rsidR="00317816" w:rsidRPr="00C24D02" w:rsidRDefault="00317816" w:rsidP="00317816">
      <w:pPr>
        <w:numPr>
          <w:ilvl w:val="0"/>
          <w:numId w:val="26"/>
        </w:numPr>
        <w:spacing w:before="240" w:after="144" w:line="360" w:lineRule="auto"/>
        <w:jc w:val="both"/>
        <w:rPr>
          <w:rFonts w:asciiTheme="minorHAnsi" w:hAnsiTheme="minorHAnsi" w:cstheme="minorHAnsi"/>
          <w:bCs/>
        </w:rPr>
      </w:pPr>
      <w:r w:rsidRPr="00C24D02">
        <w:rPr>
          <w:rFonts w:asciiTheme="minorHAnsi" w:hAnsiTheme="minorHAnsi" w:cstheme="minorHAnsi"/>
          <w:bCs/>
        </w:rPr>
        <w:lastRenderedPageBreak/>
        <w:t>Absence českých norem pro celou baterii</w:t>
      </w:r>
    </w:p>
    <w:p w14:paraId="20409043" w14:textId="77777777" w:rsidR="00317816" w:rsidRPr="00C24D02" w:rsidRDefault="00317816" w:rsidP="00317816">
      <w:pPr>
        <w:numPr>
          <w:ilvl w:val="1"/>
          <w:numId w:val="26"/>
        </w:numPr>
        <w:spacing w:before="240" w:after="144" w:line="360" w:lineRule="auto"/>
        <w:jc w:val="both"/>
        <w:rPr>
          <w:rFonts w:asciiTheme="minorHAnsi" w:hAnsiTheme="minorHAnsi" w:cstheme="minorHAnsi"/>
          <w:bCs/>
        </w:rPr>
      </w:pPr>
      <w:r w:rsidRPr="00C24D02">
        <w:rPr>
          <w:rFonts w:asciiTheme="minorHAnsi" w:hAnsiTheme="minorHAnsi" w:cstheme="minorHAnsi"/>
          <w:bCs/>
        </w:rPr>
        <w:t>Autorský tým sice deklaruje dohodu o dočasném využití amerických norem a plán vytvoření českých norem v budoucnu, ale pro účely současného hodnocení je relevantní, co je již k dispozici nyní.</w:t>
      </w:r>
    </w:p>
    <w:p w14:paraId="67EB1A67" w14:textId="77777777" w:rsidR="00317816" w:rsidRPr="00C24D02" w:rsidRDefault="00317816" w:rsidP="00317816">
      <w:pPr>
        <w:numPr>
          <w:ilvl w:val="1"/>
          <w:numId w:val="26"/>
        </w:numPr>
        <w:spacing w:before="240" w:after="144" w:line="360" w:lineRule="auto"/>
        <w:jc w:val="both"/>
        <w:rPr>
          <w:rFonts w:asciiTheme="minorHAnsi" w:hAnsiTheme="minorHAnsi" w:cstheme="minorHAnsi"/>
          <w:bCs/>
        </w:rPr>
      </w:pPr>
      <w:r w:rsidRPr="00C24D02">
        <w:rPr>
          <w:rFonts w:asciiTheme="minorHAnsi" w:hAnsiTheme="minorHAnsi" w:cstheme="minorHAnsi"/>
          <w:bCs/>
        </w:rPr>
        <w:t>Bez norem adaptace nemá plně realizovaný dopad na běžnou klinickou praxi — výsledky nelze spolehlivě interpretovat v českém kontextu napříč věkově/edukačně různými skupinami.</w:t>
      </w:r>
    </w:p>
    <w:p w14:paraId="4160C6DF" w14:textId="77777777" w:rsidR="00317816" w:rsidRPr="00C24D02" w:rsidRDefault="00317816" w:rsidP="00317816">
      <w:pPr>
        <w:numPr>
          <w:ilvl w:val="0"/>
          <w:numId w:val="26"/>
        </w:numPr>
        <w:spacing w:before="240" w:after="144" w:line="360" w:lineRule="auto"/>
        <w:jc w:val="both"/>
        <w:rPr>
          <w:rFonts w:asciiTheme="minorHAnsi" w:hAnsiTheme="minorHAnsi" w:cstheme="minorHAnsi"/>
          <w:bCs/>
        </w:rPr>
      </w:pPr>
      <w:r w:rsidRPr="00C24D02">
        <w:rPr>
          <w:rFonts w:asciiTheme="minorHAnsi" w:hAnsiTheme="minorHAnsi" w:cstheme="minorHAnsi"/>
          <w:bCs/>
        </w:rPr>
        <w:t>Nedostatečná empirická dokumentace psychometrických charakteristik celé baterie</w:t>
      </w:r>
    </w:p>
    <w:p w14:paraId="38BA309B" w14:textId="77777777" w:rsidR="00317816" w:rsidRPr="00C24D02" w:rsidRDefault="00317816" w:rsidP="00317816">
      <w:pPr>
        <w:numPr>
          <w:ilvl w:val="1"/>
          <w:numId w:val="26"/>
        </w:numPr>
        <w:spacing w:before="240" w:after="144" w:line="360" w:lineRule="auto"/>
        <w:jc w:val="both"/>
        <w:rPr>
          <w:rFonts w:asciiTheme="minorHAnsi" w:hAnsiTheme="minorHAnsi" w:cstheme="minorHAnsi"/>
          <w:bCs/>
        </w:rPr>
      </w:pPr>
      <w:r w:rsidRPr="00C24D02">
        <w:rPr>
          <w:rFonts w:asciiTheme="minorHAnsi" w:hAnsiTheme="minorHAnsi" w:cstheme="minorHAnsi"/>
          <w:bCs/>
        </w:rPr>
        <w:t>Autoři uvádějí psychometrické ověření publikované pro Screeningový modul (n = 116) a menší soubor pro NAB (n = 46). Tyto velikosti jsou limitní pro robustní normování a generalizaci výsledků pro populaci České republiky.</w:t>
      </w:r>
    </w:p>
    <w:p w14:paraId="59E76ABF" w14:textId="77777777" w:rsidR="00317816" w:rsidRPr="00C24D02" w:rsidRDefault="00317816" w:rsidP="00317816">
      <w:pPr>
        <w:numPr>
          <w:ilvl w:val="1"/>
          <w:numId w:val="26"/>
        </w:numPr>
        <w:spacing w:before="240" w:after="144" w:line="360" w:lineRule="auto"/>
        <w:jc w:val="both"/>
        <w:rPr>
          <w:rFonts w:asciiTheme="minorHAnsi" w:hAnsiTheme="minorHAnsi" w:cstheme="minorHAnsi"/>
          <w:bCs/>
        </w:rPr>
      </w:pPr>
      <w:r w:rsidRPr="00C24D02">
        <w:rPr>
          <w:rFonts w:asciiTheme="minorHAnsi" w:hAnsiTheme="minorHAnsi" w:cstheme="minorHAnsi"/>
          <w:bCs/>
        </w:rPr>
        <w:t>Kromě omezeného rozsahu vzorku chybí u většiny modulů přehledné, publikované a recenzované analýzy reliability, validity a odlišností položek (zejm. u verbálních subtestů). U neverbálních subtestů může být transportovatelnost lepší, avšak to neplatí automaticky pro verbální části — to autoři sami akcentují.</w:t>
      </w:r>
    </w:p>
    <w:p w14:paraId="1DF70352" w14:textId="77777777" w:rsidR="00317816" w:rsidRPr="00C24D02" w:rsidRDefault="00317816" w:rsidP="00317816">
      <w:pPr>
        <w:numPr>
          <w:ilvl w:val="0"/>
          <w:numId w:val="26"/>
        </w:numPr>
        <w:spacing w:before="240" w:after="144" w:line="360" w:lineRule="auto"/>
        <w:jc w:val="both"/>
        <w:rPr>
          <w:rFonts w:asciiTheme="minorHAnsi" w:hAnsiTheme="minorHAnsi" w:cstheme="minorHAnsi"/>
          <w:bCs/>
        </w:rPr>
      </w:pPr>
      <w:r w:rsidRPr="00C24D02">
        <w:rPr>
          <w:rFonts w:asciiTheme="minorHAnsi" w:hAnsiTheme="minorHAnsi" w:cstheme="minorHAnsi"/>
          <w:bCs/>
        </w:rPr>
        <w:t>Hodnotitelé a garanti upozornili na omezený přístup k materiálům</w:t>
      </w:r>
    </w:p>
    <w:p w14:paraId="284723C7" w14:textId="77777777" w:rsidR="00317816" w:rsidRPr="00C24D02" w:rsidRDefault="00317816" w:rsidP="00317816">
      <w:pPr>
        <w:numPr>
          <w:ilvl w:val="1"/>
          <w:numId w:val="26"/>
        </w:numPr>
        <w:spacing w:before="240" w:after="144" w:line="360" w:lineRule="auto"/>
        <w:jc w:val="both"/>
        <w:rPr>
          <w:rFonts w:asciiTheme="minorHAnsi" w:hAnsiTheme="minorHAnsi" w:cstheme="minorHAnsi"/>
          <w:bCs/>
        </w:rPr>
      </w:pPr>
      <w:r w:rsidRPr="00C24D02">
        <w:rPr>
          <w:rFonts w:asciiTheme="minorHAnsi" w:hAnsiTheme="minorHAnsi" w:cstheme="minorHAnsi"/>
          <w:bCs/>
        </w:rPr>
        <w:t>Do hodnocení byl nahrán pouze manuál; plný přístup k materiálům, datům a analýzám (které by umožnily nezávislé posouzení) nebyl dostupný. To omezuje možnost hodnotitelů ověřit, nakolik byly při adaptaci a testování dodrženy standardy plného normování.</w:t>
      </w:r>
    </w:p>
    <w:p w14:paraId="4C344B9B" w14:textId="77777777" w:rsidR="00317816" w:rsidRPr="00C24D02" w:rsidRDefault="00317816" w:rsidP="00317816">
      <w:pPr>
        <w:numPr>
          <w:ilvl w:val="0"/>
          <w:numId w:val="26"/>
        </w:numPr>
        <w:spacing w:before="240" w:after="144" w:line="360" w:lineRule="auto"/>
        <w:jc w:val="both"/>
        <w:rPr>
          <w:rFonts w:asciiTheme="minorHAnsi" w:hAnsiTheme="minorHAnsi" w:cstheme="minorHAnsi"/>
          <w:bCs/>
        </w:rPr>
      </w:pPr>
      <w:r w:rsidRPr="00C24D02">
        <w:rPr>
          <w:rFonts w:asciiTheme="minorHAnsi" w:hAnsiTheme="minorHAnsi" w:cstheme="minorHAnsi"/>
          <w:bCs/>
        </w:rPr>
        <w:t>Nezodpovězené otázky k praktickému rozšíření a využití</w:t>
      </w:r>
    </w:p>
    <w:p w14:paraId="0D4549A3" w14:textId="77777777" w:rsidR="00317816" w:rsidRPr="00C24D02" w:rsidRDefault="00317816" w:rsidP="00317816">
      <w:pPr>
        <w:numPr>
          <w:ilvl w:val="1"/>
          <w:numId w:val="26"/>
        </w:numPr>
        <w:spacing w:before="240" w:after="144" w:line="360" w:lineRule="auto"/>
        <w:jc w:val="both"/>
        <w:rPr>
          <w:rFonts w:asciiTheme="minorHAnsi" w:hAnsiTheme="minorHAnsi" w:cstheme="minorHAnsi"/>
          <w:bCs/>
        </w:rPr>
      </w:pPr>
      <w:r w:rsidRPr="00C24D02">
        <w:rPr>
          <w:rFonts w:asciiTheme="minorHAnsi" w:hAnsiTheme="minorHAnsi" w:cstheme="minorHAnsi"/>
          <w:bCs/>
        </w:rPr>
        <w:t>Není doloženo, kde a v jakém rozsahu je baterie již používána v praxi, jak probíhá školení uživatelů, ani jaké odborné společnosti či pracoviště ji aktivně doporučují. To omezuje hodnocení skutečného současného společenského dopadu (tedy dopadu již realizovaného, nikoli pouze potenciálního).</w:t>
      </w:r>
    </w:p>
    <w:p w14:paraId="36269AE7" w14:textId="77777777" w:rsidR="00317816" w:rsidRPr="00C24D02" w:rsidRDefault="00317816" w:rsidP="00317816">
      <w:pPr>
        <w:numPr>
          <w:ilvl w:val="0"/>
          <w:numId w:val="26"/>
        </w:numPr>
        <w:spacing w:before="240" w:after="144" w:line="360" w:lineRule="auto"/>
        <w:jc w:val="both"/>
        <w:rPr>
          <w:rFonts w:asciiTheme="minorHAnsi" w:hAnsiTheme="minorHAnsi" w:cstheme="minorHAnsi"/>
          <w:bCs/>
        </w:rPr>
      </w:pPr>
      <w:r w:rsidRPr="00C24D02">
        <w:rPr>
          <w:rFonts w:asciiTheme="minorHAnsi" w:hAnsiTheme="minorHAnsi" w:cstheme="minorHAnsi"/>
          <w:bCs/>
        </w:rPr>
        <w:lastRenderedPageBreak/>
        <w:t>Licence u komerčního vydavatele</w:t>
      </w:r>
    </w:p>
    <w:p w14:paraId="02115B9A" w14:textId="77777777" w:rsidR="00317816" w:rsidRPr="00C24D02" w:rsidRDefault="00317816" w:rsidP="00317816">
      <w:pPr>
        <w:numPr>
          <w:ilvl w:val="1"/>
          <w:numId w:val="26"/>
        </w:numPr>
        <w:spacing w:before="240" w:after="144" w:line="360" w:lineRule="auto"/>
        <w:jc w:val="both"/>
        <w:rPr>
          <w:rFonts w:asciiTheme="minorHAnsi" w:hAnsiTheme="minorHAnsi" w:cstheme="minorHAnsi"/>
          <w:bCs/>
        </w:rPr>
      </w:pPr>
      <w:r w:rsidRPr="00C24D02">
        <w:rPr>
          <w:rFonts w:asciiTheme="minorHAnsi" w:hAnsiTheme="minorHAnsi" w:cstheme="minorHAnsi"/>
          <w:bCs/>
        </w:rPr>
        <w:t>Fakt, že licenční práva spravuje komerční vydavatel, je standardní praxí; samotná existence licence však nenahrazuje empirické důkazy o rozšíření a reálném dopadu nástroje v české praxi.</w:t>
      </w:r>
    </w:p>
    <w:p w14:paraId="6EF3C197"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3) Hodnocení potenciálu vs. hodnocení realizovaného dopadu</w:t>
      </w:r>
    </w:p>
    <w:p w14:paraId="1856A2DD"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Modul 1 (kategorie společenská relevance) rozlišuje mezi potenciálním přínosem (významný v budoucnu) a reálně dokumentovaným dopadem. Předložený výstup má jasný potenciál (to je důvod, proč hodnotitelé uznávají náročnost adaptace), nicméně současné empirické a uživatelské důkazy nejsou dostatečné pro to, aby se potenciál proměnil v hodnocení vyššího stupně společenské relevance.</w:t>
      </w:r>
    </w:p>
    <w:p w14:paraId="4EB2BD25"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4) Závěr a doporučení</w:t>
      </w:r>
    </w:p>
    <w:p w14:paraId="3A0F0B82" w14:textId="77777777" w:rsidR="00317816" w:rsidRPr="00C24D02" w:rsidRDefault="00317816" w:rsidP="00317816">
      <w:pPr>
        <w:numPr>
          <w:ilvl w:val="0"/>
          <w:numId w:val="27"/>
        </w:numPr>
        <w:spacing w:before="240" w:after="144" w:line="360" w:lineRule="auto"/>
        <w:jc w:val="both"/>
        <w:rPr>
          <w:rFonts w:asciiTheme="minorHAnsi" w:hAnsiTheme="minorHAnsi" w:cstheme="minorHAnsi"/>
          <w:bCs/>
        </w:rPr>
      </w:pPr>
      <w:r w:rsidRPr="00C24D02">
        <w:rPr>
          <w:rFonts w:asciiTheme="minorHAnsi" w:hAnsiTheme="minorHAnsi" w:cstheme="minorHAnsi"/>
          <w:bCs/>
        </w:rPr>
        <w:t>Po přezkoumání všech dostupných materiálů, včetně doplněných informací autorů, zůstává původní známka 4 jako odůvodněná. Výsledek je potenciálně významný, avšak v aktuální podobě jeho společenský dopad hodnotíme jako limitovaný / zatím nerealizovaný.</w:t>
      </w:r>
    </w:p>
    <w:p w14:paraId="6E39569C" w14:textId="77777777" w:rsidR="00317816" w:rsidRPr="00C24D02" w:rsidRDefault="00317816" w:rsidP="00317816">
      <w:pPr>
        <w:numPr>
          <w:ilvl w:val="0"/>
          <w:numId w:val="27"/>
        </w:numPr>
        <w:spacing w:before="240" w:after="144" w:line="360" w:lineRule="auto"/>
        <w:jc w:val="both"/>
        <w:rPr>
          <w:rFonts w:asciiTheme="minorHAnsi" w:hAnsiTheme="minorHAnsi" w:cstheme="minorHAnsi"/>
          <w:bCs/>
        </w:rPr>
      </w:pPr>
      <w:r w:rsidRPr="00C24D02">
        <w:rPr>
          <w:rFonts w:asciiTheme="minorHAnsi" w:hAnsiTheme="minorHAnsi" w:cstheme="minorHAnsi"/>
          <w:bCs/>
        </w:rPr>
        <w:t>Pro případné přehodnocení v budoucnu by bylo třeba doložit:</w:t>
      </w:r>
    </w:p>
    <w:p w14:paraId="28BC9D74" w14:textId="77777777" w:rsidR="00317816" w:rsidRPr="00C24D02" w:rsidRDefault="00317816" w:rsidP="00317816">
      <w:pPr>
        <w:numPr>
          <w:ilvl w:val="1"/>
          <w:numId w:val="27"/>
        </w:numPr>
        <w:spacing w:before="240" w:after="144" w:line="360" w:lineRule="auto"/>
        <w:jc w:val="both"/>
        <w:rPr>
          <w:rFonts w:asciiTheme="minorHAnsi" w:hAnsiTheme="minorHAnsi" w:cstheme="minorHAnsi"/>
          <w:bCs/>
        </w:rPr>
      </w:pPr>
      <w:r w:rsidRPr="00C24D02">
        <w:rPr>
          <w:rFonts w:asciiTheme="minorHAnsi" w:hAnsiTheme="minorHAnsi" w:cstheme="minorHAnsi"/>
          <w:bCs/>
        </w:rPr>
        <w:t>kompletní české normy vytvořené na reprezentativním, adekvátně velkém vzorku;</w:t>
      </w:r>
    </w:p>
    <w:p w14:paraId="66F12B81" w14:textId="77777777" w:rsidR="00317816" w:rsidRPr="00C24D02" w:rsidRDefault="00317816" w:rsidP="00317816">
      <w:pPr>
        <w:numPr>
          <w:ilvl w:val="1"/>
          <w:numId w:val="27"/>
        </w:numPr>
        <w:spacing w:before="240" w:after="144" w:line="360" w:lineRule="auto"/>
        <w:jc w:val="both"/>
        <w:rPr>
          <w:rFonts w:asciiTheme="minorHAnsi" w:hAnsiTheme="minorHAnsi" w:cstheme="minorHAnsi"/>
          <w:bCs/>
        </w:rPr>
      </w:pPr>
      <w:r w:rsidRPr="00C24D02">
        <w:rPr>
          <w:rFonts w:asciiTheme="minorHAnsi" w:hAnsiTheme="minorHAnsi" w:cstheme="minorHAnsi"/>
          <w:bCs/>
        </w:rPr>
        <w:t>publikované psychometrické analýzy (reliability, validity, analýzy položek) pro všechny moduly;</w:t>
      </w:r>
    </w:p>
    <w:p w14:paraId="4D1ECED3" w14:textId="77777777" w:rsidR="00317816" w:rsidRPr="00C24D02" w:rsidRDefault="00317816" w:rsidP="00317816">
      <w:pPr>
        <w:numPr>
          <w:ilvl w:val="1"/>
          <w:numId w:val="27"/>
        </w:numPr>
        <w:spacing w:before="240" w:after="144" w:line="360" w:lineRule="auto"/>
        <w:jc w:val="both"/>
        <w:rPr>
          <w:rFonts w:asciiTheme="minorHAnsi" w:hAnsiTheme="minorHAnsi" w:cstheme="minorHAnsi"/>
          <w:bCs/>
        </w:rPr>
      </w:pPr>
      <w:r w:rsidRPr="00C24D02">
        <w:rPr>
          <w:rFonts w:asciiTheme="minorHAnsi" w:hAnsiTheme="minorHAnsi" w:cstheme="minorHAnsi"/>
          <w:bCs/>
        </w:rPr>
        <w:t>prokazatelné rozšíření v praxi (seznam pracovišť, statistiky využití), dokumentované školení uživatelů a doporučení odborných společností;</w:t>
      </w:r>
    </w:p>
    <w:p w14:paraId="31F16220" w14:textId="77777777" w:rsidR="00317816" w:rsidRPr="00C24D02" w:rsidRDefault="00317816" w:rsidP="00317816">
      <w:pPr>
        <w:numPr>
          <w:ilvl w:val="1"/>
          <w:numId w:val="27"/>
        </w:numPr>
        <w:spacing w:before="240" w:after="144" w:line="360" w:lineRule="auto"/>
        <w:jc w:val="both"/>
        <w:rPr>
          <w:rFonts w:asciiTheme="minorHAnsi" w:hAnsiTheme="minorHAnsi" w:cstheme="minorHAnsi"/>
          <w:bCs/>
        </w:rPr>
      </w:pPr>
      <w:r w:rsidRPr="00C24D02">
        <w:rPr>
          <w:rFonts w:asciiTheme="minorHAnsi" w:hAnsiTheme="minorHAnsi" w:cstheme="minorHAnsi"/>
          <w:bCs/>
        </w:rPr>
        <w:t>případně recenzované publikace potvrzující diagnostickou a klinickou užitečnost v českém kontextu.</w:t>
      </w:r>
    </w:p>
    <w:p w14:paraId="144E2791"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15509329"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lastRenderedPageBreak/>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2446803E" w14:textId="064AEE86" w:rsidR="00317816" w:rsidRPr="00C24D02"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vyjádřením Odborného panelu námitce nevyhovět a ponecháním původního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8FF7999" w14:textId="77777777" w:rsidTr="003D1A59">
        <w:tc>
          <w:tcPr>
            <w:tcW w:w="2405" w:type="dxa"/>
          </w:tcPr>
          <w:p w14:paraId="3FB2A12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2DCBB0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Nemocnice na Homolce</w:t>
            </w:r>
          </w:p>
        </w:tc>
      </w:tr>
      <w:tr w:rsidR="00317816" w:rsidRPr="00C24D02" w14:paraId="317B2E20" w14:textId="77777777" w:rsidTr="003D1A59">
        <w:tc>
          <w:tcPr>
            <w:tcW w:w="2405" w:type="dxa"/>
          </w:tcPr>
          <w:p w14:paraId="6BE8A0B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669BCC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192518179</w:t>
            </w:r>
          </w:p>
        </w:tc>
      </w:tr>
      <w:tr w:rsidR="00317816" w:rsidRPr="00C24D02" w14:paraId="07CD019C" w14:textId="77777777" w:rsidTr="003D1A59">
        <w:trPr>
          <w:trHeight w:val="741"/>
        </w:trPr>
        <w:tc>
          <w:tcPr>
            <w:tcW w:w="2405" w:type="dxa"/>
          </w:tcPr>
          <w:p w14:paraId="5DA55EA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C2E505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Attachment style of patients diagnosed with psychogenic non-epileptic seizures at a tertiary Epilepsy Center in the Czech Republic</w:t>
            </w:r>
          </w:p>
        </w:tc>
      </w:tr>
      <w:tr w:rsidR="00317816" w:rsidRPr="00C24D02" w14:paraId="09AC4327" w14:textId="77777777" w:rsidTr="003D1A59">
        <w:tc>
          <w:tcPr>
            <w:tcW w:w="2405" w:type="dxa"/>
          </w:tcPr>
          <w:p w14:paraId="5EC375A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B8508B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5.1.</w:t>
            </w:r>
          </w:p>
        </w:tc>
      </w:tr>
      <w:tr w:rsidR="00317816" w:rsidRPr="00C24D02" w14:paraId="252F4B93" w14:textId="77777777" w:rsidTr="003D1A59">
        <w:tc>
          <w:tcPr>
            <w:tcW w:w="2405" w:type="dxa"/>
          </w:tcPr>
          <w:p w14:paraId="3098ED8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5DC72D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70F5ACF9" w14:textId="77777777" w:rsidTr="003D1A59">
        <w:tc>
          <w:tcPr>
            <w:tcW w:w="2405" w:type="dxa"/>
          </w:tcPr>
          <w:p w14:paraId="2272FE6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54"/>
            </w:r>
            <w:r w:rsidRPr="00C24D02">
              <w:rPr>
                <w:rFonts w:asciiTheme="minorHAnsi" w:eastAsia="Calibri" w:hAnsiTheme="minorHAnsi" w:cstheme="minorHAnsi"/>
              </w:rPr>
              <w:t>)</w:t>
            </w:r>
          </w:p>
        </w:tc>
        <w:tc>
          <w:tcPr>
            <w:tcW w:w="6378" w:type="dxa"/>
          </w:tcPr>
          <w:p w14:paraId="309576A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4/3/-/4</w:t>
            </w:r>
          </w:p>
        </w:tc>
      </w:tr>
      <w:tr w:rsidR="00317816" w:rsidRPr="00C24D02" w14:paraId="213434B2" w14:textId="77777777" w:rsidTr="003D1A59">
        <w:tc>
          <w:tcPr>
            <w:tcW w:w="2405" w:type="dxa"/>
          </w:tcPr>
          <w:p w14:paraId="1BF9B12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50E5087"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3.</w:t>
            </w:r>
          </w:p>
        </w:tc>
      </w:tr>
    </w:tbl>
    <w:p w14:paraId="6AD6487C" w14:textId="77777777" w:rsidR="00317816" w:rsidRPr="00C24D02" w:rsidRDefault="00317816" w:rsidP="00317816">
      <w:pPr>
        <w:spacing w:after="144" w:line="360" w:lineRule="auto"/>
        <w:rPr>
          <w:rFonts w:asciiTheme="minorHAnsi" w:hAnsiTheme="minorHAnsi" w:cstheme="minorHAnsi"/>
        </w:rPr>
      </w:pPr>
    </w:p>
    <w:p w14:paraId="39A7A340"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Podjatost hodnotitelů</w:t>
      </w:r>
    </w:p>
    <w:p w14:paraId="6F2E9EC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6A8EDC1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obracíme se na Vás ve věci neobjektivního a diskriminačního hodnocení v rámci Sběru kvalitních výsledku za rok 2024. Hodnocený článek, který byl předkládán naší institucí a též Policejní akademií ČR Attachment style of patients diagnosed with psychogenic nonepileptic seizures at a tertiary Epilepsy Center in the Czech Republic, byl publikován v renomovaném zahraničním impaktovaném žurnálu v kategorii Q2 WoS (Frontiers in Psychiatry. 2022, roč. 13. ISSN 1664-0640. doi: 10.3389/fpsyt.2022.1065201). Dle aktuální Metodiky hodnocení 17+/25+ by tak měl spadat mezi excelentní výsledky kategorie Biblio Jimp. Přes objektivní metriku prověřenou náročným a rigorózním recenzním řízením však skončil s neuvěřitelným </w:t>
      </w:r>
      <w:r w:rsidRPr="00C24D02">
        <w:rPr>
          <w:rFonts w:asciiTheme="minorHAnsi" w:hAnsiTheme="minorHAnsi" w:cstheme="minorHAnsi"/>
        </w:rPr>
        <w:lastRenderedPageBreak/>
        <w:t>hodnocením 4. Ačkoli jsou výstupy tohoto typu hodnoceny jako excelentní (většinou známkou 1) uvádí Garant hodnocení, že v tomto případě muselo být „výrazně oslabeno“.</w:t>
      </w:r>
    </w:p>
    <w:p w14:paraId="059D37A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Po detailním seznámení s hodnocením a argumenty hodnotitele vyjadřuje Nemocnice Na Homolce podezření z osobní podjatosti a diskriminace zakládající se pouze na domněnkách hodnotitele a následně uvádí argumenty, které ji k tomu podezření vedly……</w:t>
      </w:r>
    </w:p>
    <w:p w14:paraId="7B6C62A5"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u w:val="single"/>
        </w:rPr>
        <w:t>Stanovisko garanta</w:t>
      </w:r>
      <w:r w:rsidRPr="00C24D02">
        <w:rPr>
          <w:rFonts w:asciiTheme="minorHAnsi" w:hAnsiTheme="minorHAnsi" w:cstheme="minorHAnsi"/>
        </w:rPr>
        <w:t xml:space="preserve">: </w:t>
      </w:r>
      <w:r w:rsidRPr="00C24D02">
        <w:rPr>
          <w:rFonts w:asciiTheme="minorHAnsi" w:hAnsiTheme="minorHAnsi" w:cstheme="minorHAnsi"/>
          <w:bCs/>
        </w:rPr>
        <w:t>Děkujeme za zaslané vyjádření a doplnění informací. Pečlivě jsme přezkoumali původní posudky, námitku autorů a související materiály. Po tomto přezkumu konstatujeme, že původní hodnocení – známka 4 (přínos k poznání) – zůstává odůvodněné. Níže shrnujeme hlavní důvody tohoto rozhodnutí.</w:t>
      </w:r>
    </w:p>
    <w:p w14:paraId="08114C81"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Shrnutí hlavních důvodů potvrzení známky 4</w:t>
      </w:r>
    </w:p>
    <w:p w14:paraId="1AB0AE62" w14:textId="77777777" w:rsidR="00317816" w:rsidRPr="00C24D02" w:rsidRDefault="00317816" w:rsidP="00317816">
      <w:pPr>
        <w:numPr>
          <w:ilvl w:val="0"/>
          <w:numId w:val="28"/>
        </w:numPr>
        <w:spacing w:before="240" w:after="144" w:line="360" w:lineRule="auto"/>
        <w:jc w:val="both"/>
        <w:rPr>
          <w:rFonts w:asciiTheme="minorHAnsi" w:hAnsiTheme="minorHAnsi" w:cstheme="minorHAnsi"/>
          <w:bCs/>
        </w:rPr>
      </w:pPr>
      <w:r w:rsidRPr="00C24D02">
        <w:rPr>
          <w:rFonts w:asciiTheme="minorHAnsi" w:hAnsiTheme="minorHAnsi" w:cstheme="minorHAnsi"/>
          <w:bCs/>
        </w:rPr>
        <w:t>Metodologická omezení a jejich reflexe v textu</w:t>
      </w:r>
    </w:p>
    <w:p w14:paraId="071E9DF4" w14:textId="77777777" w:rsidR="00317816" w:rsidRPr="00C24D02" w:rsidRDefault="00317816" w:rsidP="00317816">
      <w:pPr>
        <w:numPr>
          <w:ilvl w:val="1"/>
          <w:numId w:val="28"/>
        </w:numPr>
        <w:spacing w:before="240" w:after="144" w:line="360" w:lineRule="auto"/>
        <w:jc w:val="both"/>
        <w:rPr>
          <w:rFonts w:asciiTheme="minorHAnsi" w:hAnsiTheme="minorHAnsi" w:cstheme="minorHAnsi"/>
          <w:bCs/>
        </w:rPr>
      </w:pPr>
      <w:r w:rsidRPr="00C24D02">
        <w:rPr>
          <w:rFonts w:asciiTheme="minorHAnsi" w:hAnsiTheme="minorHAnsi" w:cstheme="minorHAnsi"/>
          <w:bCs/>
        </w:rPr>
        <w:t>Hodnotitel č. 1 i garant shodně upozornili, že studie má omezení, která snižují možnost vyvozování teoreticky i empiricky významných závěrů (především průřezový design, nemožnost prokázat kauzalitu, možné směrování vztahů).</w:t>
      </w:r>
    </w:p>
    <w:p w14:paraId="3C9E3D88" w14:textId="77777777" w:rsidR="00317816" w:rsidRPr="00C24D02" w:rsidRDefault="00317816" w:rsidP="00317816">
      <w:pPr>
        <w:numPr>
          <w:ilvl w:val="1"/>
          <w:numId w:val="28"/>
        </w:numPr>
        <w:spacing w:before="240" w:after="144" w:line="360" w:lineRule="auto"/>
        <w:jc w:val="both"/>
        <w:rPr>
          <w:rFonts w:asciiTheme="minorHAnsi" w:hAnsiTheme="minorHAnsi" w:cstheme="minorHAnsi"/>
          <w:bCs/>
        </w:rPr>
      </w:pPr>
      <w:r w:rsidRPr="00C24D02">
        <w:rPr>
          <w:rFonts w:asciiTheme="minorHAnsi" w:hAnsiTheme="minorHAnsi" w:cstheme="minorHAnsi"/>
          <w:bCs/>
        </w:rPr>
        <w:t xml:space="preserve">Posudky konstatují, že tato omezení nejsou v předloženém textu dostatečně explicitně a analyticky reflektována (tj. chybí hlouběji rozvedená diskuse o alternativních vysvětleních, směrování kauzality, možném biasu ve výběru apod.). Podle kritérií hodnocení přínosu k poznání má diskuse o omezeních a jejich dopadech na interpretaci výsledků zásadní váhu. </w:t>
      </w:r>
    </w:p>
    <w:p w14:paraId="1DAB6479" w14:textId="77777777" w:rsidR="00317816" w:rsidRPr="00C24D02" w:rsidRDefault="00317816" w:rsidP="00317816">
      <w:pPr>
        <w:numPr>
          <w:ilvl w:val="0"/>
          <w:numId w:val="28"/>
        </w:numPr>
        <w:spacing w:before="240" w:after="144" w:line="360" w:lineRule="auto"/>
        <w:jc w:val="both"/>
        <w:rPr>
          <w:rFonts w:asciiTheme="minorHAnsi" w:hAnsiTheme="minorHAnsi" w:cstheme="minorHAnsi"/>
          <w:bCs/>
        </w:rPr>
      </w:pPr>
      <w:r w:rsidRPr="00C24D02">
        <w:rPr>
          <w:rFonts w:asciiTheme="minorHAnsi" w:hAnsiTheme="minorHAnsi" w:cstheme="minorHAnsi"/>
          <w:bCs/>
        </w:rPr>
        <w:t>Otázky originality a překrývání dat</w:t>
      </w:r>
    </w:p>
    <w:p w14:paraId="533A362B" w14:textId="77777777" w:rsidR="00317816" w:rsidRPr="00C24D02" w:rsidRDefault="00317816" w:rsidP="00317816">
      <w:pPr>
        <w:spacing w:before="240" w:after="144" w:line="360" w:lineRule="auto"/>
        <w:ind w:left="720"/>
        <w:jc w:val="both"/>
        <w:rPr>
          <w:rFonts w:asciiTheme="minorHAnsi" w:hAnsiTheme="minorHAnsi" w:cstheme="minorHAnsi"/>
          <w:bCs/>
        </w:rPr>
      </w:pPr>
      <w:r w:rsidRPr="00C24D02">
        <w:rPr>
          <w:rFonts w:asciiTheme="minorHAnsi" w:hAnsiTheme="minorHAnsi" w:cstheme="minorHAnsi"/>
          <w:bCs/>
        </w:rPr>
        <w:t>Tento argument není pro hodnocení zásadní, ale v případě situací, kdy je výstup velmi podobný předchozím je dobré v odůvodnění vysvětlit novost předkládaného výsledku.</w:t>
      </w:r>
    </w:p>
    <w:p w14:paraId="7B3D0302" w14:textId="77777777" w:rsidR="00317816" w:rsidRPr="00C24D02" w:rsidRDefault="00317816" w:rsidP="00317816">
      <w:pPr>
        <w:numPr>
          <w:ilvl w:val="0"/>
          <w:numId w:val="28"/>
        </w:numPr>
        <w:spacing w:before="240" w:after="144" w:line="360" w:lineRule="auto"/>
        <w:jc w:val="both"/>
        <w:rPr>
          <w:rFonts w:asciiTheme="minorHAnsi" w:hAnsiTheme="minorHAnsi" w:cstheme="minorHAnsi"/>
          <w:bCs/>
        </w:rPr>
      </w:pPr>
      <w:r w:rsidRPr="00C24D02">
        <w:rPr>
          <w:rFonts w:asciiTheme="minorHAnsi" w:hAnsiTheme="minorHAnsi" w:cstheme="minorHAnsi"/>
          <w:bCs/>
        </w:rPr>
        <w:t>Diskuze a implikace pro další výzkum/praxi jsou nedostatečně rozvedené</w:t>
      </w:r>
    </w:p>
    <w:p w14:paraId="6EA95970" w14:textId="77777777" w:rsidR="00317816" w:rsidRPr="00C24D02" w:rsidRDefault="00317816" w:rsidP="00317816">
      <w:pPr>
        <w:numPr>
          <w:ilvl w:val="1"/>
          <w:numId w:val="28"/>
        </w:numPr>
        <w:spacing w:before="240" w:after="144" w:line="360" w:lineRule="auto"/>
        <w:jc w:val="both"/>
        <w:rPr>
          <w:rFonts w:asciiTheme="minorHAnsi" w:hAnsiTheme="minorHAnsi" w:cstheme="minorHAnsi"/>
          <w:bCs/>
        </w:rPr>
      </w:pPr>
      <w:r w:rsidRPr="00C24D02">
        <w:rPr>
          <w:rFonts w:asciiTheme="minorHAnsi" w:hAnsiTheme="minorHAnsi" w:cstheme="minorHAnsi"/>
          <w:bCs/>
        </w:rPr>
        <w:t xml:space="preserve">Posudky upozornily, že článek sice popisuje výsledky, ale nedostatečně diskutuje, jak konkrétně tyto nálezy posouvají teoretické chápání PNES či jak ovlivní další empirický výzkum či klinickou praxi. Pro přínos k poznání je potřeba </w:t>
      </w:r>
      <w:r w:rsidRPr="00C24D02">
        <w:rPr>
          <w:rFonts w:asciiTheme="minorHAnsi" w:hAnsiTheme="minorHAnsi" w:cstheme="minorHAnsi"/>
          <w:bCs/>
        </w:rPr>
        <w:lastRenderedPageBreak/>
        <w:t>jasné vymezení originálního poznatku, jeho omezení a implikací pro další hypotézy a studie.</w:t>
      </w:r>
    </w:p>
    <w:p w14:paraId="71D90550" w14:textId="77777777" w:rsidR="00317816" w:rsidRPr="00C24D02" w:rsidRDefault="00317816" w:rsidP="00317816">
      <w:pPr>
        <w:numPr>
          <w:ilvl w:val="0"/>
          <w:numId w:val="28"/>
        </w:numPr>
        <w:spacing w:before="240" w:after="144" w:line="360" w:lineRule="auto"/>
        <w:jc w:val="both"/>
        <w:rPr>
          <w:rFonts w:asciiTheme="minorHAnsi" w:hAnsiTheme="minorHAnsi" w:cstheme="minorHAnsi"/>
          <w:bCs/>
        </w:rPr>
      </w:pPr>
      <w:r w:rsidRPr="00C24D02">
        <w:rPr>
          <w:rFonts w:asciiTheme="minorHAnsi" w:hAnsiTheme="minorHAnsi" w:cstheme="minorHAnsi"/>
          <w:bCs/>
        </w:rPr>
        <w:t>Tón a formulace obvinění o „plagiátorství“</w:t>
      </w:r>
    </w:p>
    <w:p w14:paraId="2DADAFFF" w14:textId="77777777" w:rsidR="00317816" w:rsidRPr="00C24D02" w:rsidRDefault="00317816" w:rsidP="00317816">
      <w:pPr>
        <w:numPr>
          <w:ilvl w:val="1"/>
          <w:numId w:val="28"/>
        </w:numPr>
        <w:spacing w:before="240" w:after="144" w:line="360" w:lineRule="auto"/>
        <w:jc w:val="both"/>
        <w:rPr>
          <w:rFonts w:asciiTheme="minorHAnsi" w:hAnsiTheme="minorHAnsi" w:cstheme="minorHAnsi"/>
          <w:bCs/>
        </w:rPr>
      </w:pPr>
      <w:r w:rsidRPr="00C24D02">
        <w:rPr>
          <w:rFonts w:asciiTheme="minorHAnsi" w:hAnsiTheme="minorHAnsi" w:cstheme="minorHAnsi"/>
          <w:bCs/>
        </w:rPr>
        <w:t>Obvinění z plagiátorství je závažné. Hodnotitelé nicméně neformulovali nepodložené obvinění – upozornili na „vyvstávající otázky“ ohledně překrývání dat ve více publikacích a požadovali jejich vyjasnění. Metodika vyžaduje, aby podezření z duplicity či opakovaného vykazování bylo řešeno na základě konkrétních důkazů (popis vzorků, datových registrů, časových řad, přístup k surovým datům či prohlášení o rozdílných analýzách). Dokud není překryv jasně a transparentně vysvětlen, nelze problematiku pominout – a proto to oslabuje hodnocení přínosu k poznání.</w:t>
      </w:r>
    </w:p>
    <w:p w14:paraId="7B458CB2"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Důraz na pravidla a transparentnost podle M17+</w:t>
      </w:r>
    </w:p>
    <w:p w14:paraId="3633784F"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 xml:space="preserve">Metodika klade důraz na: (i) originalitu a přínos publikovaných dat, (ii) transparentní metodologii a reflektování limitací, (iii) jasnost institucionálního přiřazení a autorských příspěvků. Tyto kritéria jsou rozhodující pro stanovení kvalitativního stupně přínosu k poznání. V tomto případě byly významné výhrady k těmto položkám vysloveny nezávislými hodnotiteli, a proto vedou k potvrzení stupně 4. </w:t>
      </w:r>
    </w:p>
    <w:p w14:paraId="6F9B3B0C"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Vyjádření Odborného panelu:</w:t>
      </w:r>
      <w:r w:rsidRPr="00C24D02">
        <w:rPr>
          <w:rFonts w:asciiTheme="minorHAnsi" w:hAnsiTheme="minorHAnsi" w:cstheme="minorHAnsi"/>
          <w:b/>
        </w:rPr>
        <w:t xml:space="preserve"> </w:t>
      </w:r>
      <w:r w:rsidRPr="00C24D02">
        <w:rPr>
          <w:rFonts w:asciiTheme="minorHAnsi" w:hAnsiTheme="minorHAnsi" w:cstheme="minorHAnsi"/>
        </w:rPr>
        <w:t>Panel navrhuje námitce nevyhovět a ponechat původní hodnocení stupněm 4.</w:t>
      </w:r>
    </w:p>
    <w:p w14:paraId="31353F16" w14:textId="77777777" w:rsidR="00317816" w:rsidRPr="00C24D02" w:rsidRDefault="00317816" w:rsidP="00317816">
      <w:pPr>
        <w:spacing w:before="240" w:after="144" w:line="360" w:lineRule="auto"/>
        <w:jc w:val="both"/>
        <w:rPr>
          <w:rFonts w:asciiTheme="minorHAnsi" w:hAnsiTheme="minorHAnsi" w:cstheme="minorHAnsi"/>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
        </w:rPr>
        <w:t xml:space="preserve"> </w:t>
      </w:r>
      <w:r w:rsidRPr="00C24D02">
        <w:rPr>
          <w:rFonts w:asciiTheme="minorHAnsi" w:hAnsiTheme="minorHAnsi" w:cstheme="minorHAnsi"/>
        </w:rPr>
        <w:t>Panel nezodpověděl námitku týkající se podjatosti hodnotitelů.</w:t>
      </w:r>
    </w:p>
    <w:p w14:paraId="44FCD18A" w14:textId="03AD3CBC" w:rsidR="00317816" w:rsidRPr="00C24D02"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nesouhlasí s vyjádřením Odborného panelu a navrhuje námitce vyhovět. Navrhujeme přehodnocení na známku 3, neboť článek představuje kvalitní, mezinárodně validovaný výzkumný výstup. Uvedená metodologická omezení (průřezový design, absence kauzálních závěrů) jsou standardní pro klinicko-psychologický výzkum v oblasti PNES a neumenšují empirický přínos studie, který spočívá v originálním systematickém mapování attachmentových vzorců u specifické klinické populace v českém kontextu. Kritika se týká především rozsahu diskuse a formulace implikací, tedy míry rozpracování, nikoli absence </w:t>
      </w:r>
      <w:r w:rsidRPr="00C24D02">
        <w:rPr>
          <w:rFonts w:asciiTheme="minorHAnsi" w:hAnsiTheme="minorHAnsi" w:cstheme="minorHAnsi"/>
        </w:rPr>
        <w:lastRenderedPageBreak/>
        <w:t>přínosu, což může odůvodnit snížení oproti excelentnímu hodnocení. Nepotvrzené otázky možného překryvu dat nebyly doloženy konkrétními důkazy ani shledány porušením publikační etiky, a nemohou proto legitimně vést k výraznému oslabení hodnocení přínosu k poznání.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749D0A8" w14:textId="77777777" w:rsidTr="003D1A59">
        <w:tc>
          <w:tcPr>
            <w:tcW w:w="2405" w:type="dxa"/>
          </w:tcPr>
          <w:p w14:paraId="31FF72B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FE10A0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Policejní akademie ČR v Praze</w:t>
            </w:r>
          </w:p>
        </w:tc>
      </w:tr>
      <w:tr w:rsidR="00317816" w:rsidRPr="00C24D02" w14:paraId="7F044454" w14:textId="77777777" w:rsidTr="003D1A59">
        <w:tc>
          <w:tcPr>
            <w:tcW w:w="2405" w:type="dxa"/>
          </w:tcPr>
          <w:p w14:paraId="15D6A66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6B9BFE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192518179</w:t>
            </w:r>
          </w:p>
        </w:tc>
      </w:tr>
      <w:tr w:rsidR="00317816" w:rsidRPr="00C24D02" w14:paraId="61165EF5" w14:textId="77777777" w:rsidTr="003D1A59">
        <w:trPr>
          <w:trHeight w:val="741"/>
        </w:trPr>
        <w:tc>
          <w:tcPr>
            <w:tcW w:w="2405" w:type="dxa"/>
          </w:tcPr>
          <w:p w14:paraId="61BE3FE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AA7593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Attachment style of patients diagnosed with psychogenic non-epileptic seizures at a tertiary Epilepsy Center in the Czech Republic</w:t>
            </w:r>
          </w:p>
        </w:tc>
      </w:tr>
      <w:tr w:rsidR="00317816" w:rsidRPr="00C24D02" w14:paraId="67917630" w14:textId="77777777" w:rsidTr="003D1A59">
        <w:tc>
          <w:tcPr>
            <w:tcW w:w="2405" w:type="dxa"/>
          </w:tcPr>
          <w:p w14:paraId="3245BDE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89281F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5.1.</w:t>
            </w:r>
          </w:p>
        </w:tc>
      </w:tr>
      <w:tr w:rsidR="00317816" w:rsidRPr="00C24D02" w14:paraId="4E896C2E" w14:textId="77777777" w:rsidTr="003D1A59">
        <w:tc>
          <w:tcPr>
            <w:tcW w:w="2405" w:type="dxa"/>
          </w:tcPr>
          <w:p w14:paraId="527000E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DDE91B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095D6345" w14:textId="77777777" w:rsidTr="003D1A59">
        <w:tc>
          <w:tcPr>
            <w:tcW w:w="2405" w:type="dxa"/>
          </w:tcPr>
          <w:p w14:paraId="0907F1D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55"/>
            </w:r>
            <w:r w:rsidRPr="00C24D02">
              <w:rPr>
                <w:rFonts w:asciiTheme="minorHAnsi" w:eastAsia="Calibri" w:hAnsiTheme="minorHAnsi" w:cstheme="minorHAnsi"/>
              </w:rPr>
              <w:t>)</w:t>
            </w:r>
          </w:p>
        </w:tc>
        <w:tc>
          <w:tcPr>
            <w:tcW w:w="6378" w:type="dxa"/>
          </w:tcPr>
          <w:p w14:paraId="10D653E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4/3/-/4</w:t>
            </w:r>
          </w:p>
        </w:tc>
      </w:tr>
      <w:tr w:rsidR="00317816" w:rsidRPr="00C24D02" w14:paraId="603E2464" w14:textId="77777777" w:rsidTr="003D1A59">
        <w:tc>
          <w:tcPr>
            <w:tcW w:w="2405" w:type="dxa"/>
          </w:tcPr>
          <w:p w14:paraId="5EB5F0D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4E50003"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3.</w:t>
            </w:r>
          </w:p>
        </w:tc>
      </w:tr>
    </w:tbl>
    <w:p w14:paraId="4B06FE19" w14:textId="77777777" w:rsidR="00317816" w:rsidRPr="00C24D02" w:rsidRDefault="00317816" w:rsidP="00317816">
      <w:pPr>
        <w:spacing w:after="144" w:line="360" w:lineRule="auto"/>
        <w:rPr>
          <w:rFonts w:asciiTheme="minorHAnsi" w:hAnsiTheme="minorHAnsi" w:cstheme="minorHAnsi"/>
        </w:rPr>
      </w:pPr>
    </w:p>
    <w:p w14:paraId="664EE2E4"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Podjatost hodnotitelů</w:t>
      </w:r>
    </w:p>
    <w:p w14:paraId="7B632E8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6FDBC6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obracíme se na Vás ve věci neobjektivního a diskriminačního hodnocení v rámci Sběru kvalitních výsledku za rok 2024. Hodnocený článek, který byl předkládán naší institucí a též Policejní akademií ČR Attachment style of patients diagnosed with psychogenic nonepileptic seizures at a tertiary Epilepsy Center in the Czech Republic, byl publikován v renomovaném zahraničním impaktovaném žurnálu v kategorii Q2 WoS (Frontiers in Psychiatry.2022,roč. 13. ISSN 1664-0640. doi: 10.3389/fpsyt.2022.1065201). Dle aktuální Metodiky hodnocení 17+/25+ by tak měl spadat mezi excelentní výsledky kategorie Biblio Jimp. Přes objektivní metriku prověřenou náročným a rigorózním recenzním řízením však skončil s neuvěřitelným </w:t>
      </w:r>
      <w:r w:rsidRPr="00C24D02">
        <w:rPr>
          <w:rFonts w:asciiTheme="minorHAnsi" w:hAnsiTheme="minorHAnsi" w:cstheme="minorHAnsi"/>
        </w:rPr>
        <w:lastRenderedPageBreak/>
        <w:t>hodnocením 4. Ačkoli jsou výstupy tohoto typu hodnoceny jako excelentní (většinou známkou 1) uvádí Garant hodnocení, že v tomto případě muselo být „výrazně oslabeno“.</w:t>
      </w:r>
    </w:p>
    <w:p w14:paraId="6F30911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Po detailním seznámení s hodnocením a argumenty hodnotitele vyjadřuje Nemocnice Na Homolce podezření z osobní podjatosti a diskriminace zakládající se pouze na domněnkách hodnotitele a následně uvádí argumenty, které ji k tomu podezření vedly……</w:t>
      </w:r>
    </w:p>
    <w:p w14:paraId="353B97AB"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u w:val="single"/>
        </w:rPr>
        <w:t>Stanovisko garanta</w:t>
      </w:r>
      <w:r w:rsidRPr="00C24D02">
        <w:rPr>
          <w:rFonts w:asciiTheme="minorHAnsi" w:hAnsiTheme="minorHAnsi" w:cstheme="minorHAnsi"/>
        </w:rPr>
        <w:t xml:space="preserve">: </w:t>
      </w:r>
      <w:r w:rsidRPr="00C24D02">
        <w:rPr>
          <w:rFonts w:asciiTheme="minorHAnsi" w:hAnsiTheme="minorHAnsi" w:cstheme="minorHAnsi"/>
          <w:bCs/>
        </w:rPr>
        <w:t>Děkujeme za zaslané vyjádření a doplnění informací. Pečlivě jsme přezkoumali původní posudky, námitku autorů a související materiály. Po tomto přezkumu konstatujeme, že původní hodnocení — známka 4 (přínos k poznání) — zůstává odůvodněné. Níže shrnujeme hlavní důvody tohoto rozhodnutí.</w:t>
      </w:r>
    </w:p>
    <w:p w14:paraId="4A365376"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Shrnutí hlavních důvodů potvrzení známky 4</w:t>
      </w:r>
    </w:p>
    <w:p w14:paraId="212CB5A1" w14:textId="77777777" w:rsidR="00317816" w:rsidRPr="00C24D02" w:rsidRDefault="00317816" w:rsidP="00317816">
      <w:pPr>
        <w:numPr>
          <w:ilvl w:val="0"/>
          <w:numId w:val="29"/>
        </w:numPr>
        <w:spacing w:before="240" w:after="144" w:line="360" w:lineRule="auto"/>
        <w:jc w:val="both"/>
        <w:rPr>
          <w:rFonts w:asciiTheme="minorHAnsi" w:hAnsiTheme="minorHAnsi" w:cstheme="minorHAnsi"/>
          <w:bCs/>
        </w:rPr>
      </w:pPr>
      <w:r w:rsidRPr="00C24D02">
        <w:rPr>
          <w:rFonts w:asciiTheme="minorHAnsi" w:hAnsiTheme="minorHAnsi" w:cstheme="minorHAnsi"/>
          <w:bCs/>
        </w:rPr>
        <w:t>Metodologická omezení a jejich reflexe v textu</w:t>
      </w:r>
    </w:p>
    <w:p w14:paraId="4B409A35" w14:textId="77777777" w:rsidR="00317816" w:rsidRPr="00C24D02" w:rsidRDefault="00317816" w:rsidP="00317816">
      <w:pPr>
        <w:numPr>
          <w:ilvl w:val="1"/>
          <w:numId w:val="29"/>
        </w:numPr>
        <w:spacing w:before="240" w:after="144" w:line="360" w:lineRule="auto"/>
        <w:jc w:val="both"/>
        <w:rPr>
          <w:rFonts w:asciiTheme="minorHAnsi" w:hAnsiTheme="minorHAnsi" w:cstheme="minorHAnsi"/>
          <w:bCs/>
        </w:rPr>
      </w:pPr>
      <w:r w:rsidRPr="00C24D02">
        <w:rPr>
          <w:rFonts w:asciiTheme="minorHAnsi" w:hAnsiTheme="minorHAnsi" w:cstheme="minorHAnsi"/>
          <w:bCs/>
        </w:rPr>
        <w:t>Hodnotitel č. 1 i garant shodně upozornili, že studie má omezení, která snižují možnost vyvozování teoreticky i empiricky významných závěrů (především průřezový design, nemožnost prokázat kauzalitu, možné směrování vztahů).</w:t>
      </w:r>
    </w:p>
    <w:p w14:paraId="0868D05A" w14:textId="77777777" w:rsidR="00317816" w:rsidRPr="00C24D02" w:rsidRDefault="00317816" w:rsidP="00317816">
      <w:pPr>
        <w:numPr>
          <w:ilvl w:val="1"/>
          <w:numId w:val="29"/>
        </w:numPr>
        <w:spacing w:before="240" w:after="144" w:line="360" w:lineRule="auto"/>
        <w:jc w:val="both"/>
        <w:rPr>
          <w:rFonts w:asciiTheme="minorHAnsi" w:hAnsiTheme="minorHAnsi" w:cstheme="minorHAnsi"/>
          <w:bCs/>
        </w:rPr>
      </w:pPr>
      <w:r w:rsidRPr="00C24D02">
        <w:rPr>
          <w:rFonts w:asciiTheme="minorHAnsi" w:hAnsiTheme="minorHAnsi" w:cstheme="minorHAnsi"/>
          <w:bCs/>
        </w:rPr>
        <w:t xml:space="preserve">Posudky konstatují, že tato omezení nejsou v předloženém textu dostatečně explicitně a analyticky reflektována (tj. chybí hlouběji rozvedená diskuse o alternativních vysvětleních, směrování kauzality, možném biasu ve výběru apod.). Podle kritérií hodnocení přínosu k poznání má diskuse o omezeních a jejich dopadech na interpretaci výsledků zásadní váhu. </w:t>
      </w:r>
    </w:p>
    <w:p w14:paraId="380DD228" w14:textId="77777777" w:rsidR="00317816" w:rsidRPr="00C24D02" w:rsidRDefault="00317816" w:rsidP="00317816">
      <w:pPr>
        <w:numPr>
          <w:ilvl w:val="0"/>
          <w:numId w:val="29"/>
        </w:numPr>
        <w:spacing w:before="240" w:after="144" w:line="360" w:lineRule="auto"/>
        <w:jc w:val="both"/>
        <w:rPr>
          <w:rFonts w:asciiTheme="minorHAnsi" w:hAnsiTheme="minorHAnsi" w:cstheme="minorHAnsi"/>
          <w:bCs/>
        </w:rPr>
      </w:pPr>
      <w:r w:rsidRPr="00C24D02">
        <w:rPr>
          <w:rFonts w:asciiTheme="minorHAnsi" w:hAnsiTheme="minorHAnsi" w:cstheme="minorHAnsi"/>
          <w:bCs/>
        </w:rPr>
        <w:t>Otázky originality a překrývání dat</w:t>
      </w:r>
    </w:p>
    <w:p w14:paraId="05440A9F" w14:textId="77777777" w:rsidR="00317816" w:rsidRPr="00C24D02" w:rsidRDefault="00317816" w:rsidP="00317816">
      <w:pPr>
        <w:spacing w:before="240" w:after="144" w:line="360" w:lineRule="auto"/>
        <w:ind w:left="720"/>
        <w:jc w:val="both"/>
        <w:rPr>
          <w:rFonts w:asciiTheme="minorHAnsi" w:hAnsiTheme="minorHAnsi" w:cstheme="minorHAnsi"/>
          <w:bCs/>
        </w:rPr>
      </w:pPr>
      <w:r w:rsidRPr="00C24D02">
        <w:rPr>
          <w:rFonts w:asciiTheme="minorHAnsi" w:hAnsiTheme="minorHAnsi" w:cstheme="minorHAnsi"/>
          <w:bCs/>
        </w:rPr>
        <w:t>Tento argument není pro hodnocení zásadní, ale v případě situací, kdy je výstup velmi podobný předchozím je dobré v odůvodnění vysvětlit novost předkládaného výsledku.</w:t>
      </w:r>
    </w:p>
    <w:p w14:paraId="1E58312F" w14:textId="77777777" w:rsidR="00317816" w:rsidRPr="00C24D02" w:rsidRDefault="00317816" w:rsidP="00317816">
      <w:pPr>
        <w:numPr>
          <w:ilvl w:val="0"/>
          <w:numId w:val="29"/>
        </w:numPr>
        <w:spacing w:before="240" w:after="144" w:line="360" w:lineRule="auto"/>
        <w:jc w:val="both"/>
        <w:rPr>
          <w:rFonts w:asciiTheme="minorHAnsi" w:hAnsiTheme="minorHAnsi" w:cstheme="minorHAnsi"/>
          <w:bCs/>
        </w:rPr>
      </w:pPr>
      <w:r w:rsidRPr="00C24D02">
        <w:rPr>
          <w:rFonts w:asciiTheme="minorHAnsi" w:hAnsiTheme="minorHAnsi" w:cstheme="minorHAnsi"/>
          <w:bCs/>
        </w:rPr>
        <w:t>Diskuze a implikace pro další výzkum/praxi jsou nedostatečně rozvedené</w:t>
      </w:r>
    </w:p>
    <w:p w14:paraId="38638D20" w14:textId="77777777" w:rsidR="00317816" w:rsidRPr="00C24D02" w:rsidRDefault="00317816" w:rsidP="00317816">
      <w:pPr>
        <w:numPr>
          <w:ilvl w:val="1"/>
          <w:numId w:val="29"/>
        </w:numPr>
        <w:spacing w:before="240" w:after="144" w:line="360" w:lineRule="auto"/>
        <w:jc w:val="both"/>
        <w:rPr>
          <w:rFonts w:asciiTheme="minorHAnsi" w:hAnsiTheme="minorHAnsi" w:cstheme="minorHAnsi"/>
          <w:bCs/>
        </w:rPr>
      </w:pPr>
      <w:r w:rsidRPr="00C24D02">
        <w:rPr>
          <w:rFonts w:asciiTheme="minorHAnsi" w:hAnsiTheme="minorHAnsi" w:cstheme="minorHAnsi"/>
          <w:bCs/>
        </w:rPr>
        <w:t xml:space="preserve">Posudky upozornily, že článek sice popisuje výsledky, ale nedostatečně diskutuje, jak konkrétně tyto nálezy posouvají teoretické chápání PNES či jak ovlivní další empirický výzkum či klinickou praxi. Pro přínos k poznání je potřeba </w:t>
      </w:r>
      <w:r w:rsidRPr="00C24D02">
        <w:rPr>
          <w:rFonts w:asciiTheme="minorHAnsi" w:hAnsiTheme="minorHAnsi" w:cstheme="minorHAnsi"/>
          <w:bCs/>
        </w:rPr>
        <w:lastRenderedPageBreak/>
        <w:t>jasné vymezení originálního poznatku, jeho omezení a implikací pro další hypotézy a studie.</w:t>
      </w:r>
    </w:p>
    <w:p w14:paraId="5E29CF2D" w14:textId="77777777" w:rsidR="00317816" w:rsidRPr="00C24D02" w:rsidRDefault="00317816" w:rsidP="00317816">
      <w:pPr>
        <w:numPr>
          <w:ilvl w:val="0"/>
          <w:numId w:val="29"/>
        </w:numPr>
        <w:spacing w:before="240" w:after="144" w:line="360" w:lineRule="auto"/>
        <w:jc w:val="both"/>
        <w:rPr>
          <w:rFonts w:asciiTheme="minorHAnsi" w:hAnsiTheme="minorHAnsi" w:cstheme="minorHAnsi"/>
          <w:bCs/>
        </w:rPr>
      </w:pPr>
      <w:r w:rsidRPr="00C24D02">
        <w:rPr>
          <w:rFonts w:asciiTheme="minorHAnsi" w:hAnsiTheme="minorHAnsi" w:cstheme="minorHAnsi"/>
          <w:bCs/>
        </w:rPr>
        <w:t>Tón a formulace obvinění o „plagiátorství“</w:t>
      </w:r>
    </w:p>
    <w:p w14:paraId="04FDE74A" w14:textId="77777777" w:rsidR="00317816" w:rsidRPr="00C24D02" w:rsidRDefault="00317816" w:rsidP="00317816">
      <w:pPr>
        <w:numPr>
          <w:ilvl w:val="1"/>
          <w:numId w:val="29"/>
        </w:numPr>
        <w:spacing w:before="240" w:after="144" w:line="360" w:lineRule="auto"/>
        <w:jc w:val="both"/>
        <w:rPr>
          <w:rFonts w:asciiTheme="minorHAnsi" w:hAnsiTheme="minorHAnsi" w:cstheme="minorHAnsi"/>
          <w:bCs/>
        </w:rPr>
      </w:pPr>
      <w:r w:rsidRPr="00C24D02">
        <w:rPr>
          <w:rFonts w:asciiTheme="minorHAnsi" w:hAnsiTheme="minorHAnsi" w:cstheme="minorHAnsi"/>
          <w:bCs/>
        </w:rPr>
        <w:t>Obvinění z plagiátorství je závažné. Hodnotitelé nicméně neformulovali nepodložené obvinění — upozornili na „vyvstávající otázky“ ohledně překrývání dat ve více publikacích a požadovali jejich vyjasnění. Metodika vyžaduje, aby podezření z duplicity či opakovaného vykazování bylo řešeno na základě konkrétních důkazů (popis vzorků, datových registrů, časových řad, přístup k surovým datům či prohlášení o rozdílných analýzách). Dokud není překryv jasně a transparentně vysvětlen, nelze problematiku pominout — a proto to oslabuje hodnocení přínosu k poznání.</w:t>
      </w:r>
    </w:p>
    <w:p w14:paraId="1B9EB19D"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Důraz na pravidla a transparentnost podle M17+</w:t>
      </w:r>
    </w:p>
    <w:p w14:paraId="3210A290"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 xml:space="preserve">Metodika klade důraz na: (i) originalitu a přínos publikovaných dat, (ii) transparentní metodologii a reflektování limitací, (iii) jasnost institucionálního přiřazení a autorských příspěvků. Tyto kritéria jsou rozhodující pro stanovení kvalitativního stupně přínosu k poznání. V tomto případě byly významné výhrady k těmto položkám vysloveny nezávislými hodnotiteli, a proto vedou k potvrzení stupně 4. </w:t>
      </w:r>
    </w:p>
    <w:p w14:paraId="43392F93"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03E2FC43" w14:textId="77777777" w:rsidR="00317816" w:rsidRPr="00C24D02" w:rsidRDefault="00317816" w:rsidP="00317816">
      <w:pPr>
        <w:spacing w:before="240" w:after="144" w:line="360" w:lineRule="auto"/>
        <w:jc w:val="both"/>
        <w:rPr>
          <w:rFonts w:asciiTheme="minorHAnsi" w:hAnsiTheme="minorHAnsi" w:cstheme="minorHAnsi"/>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
        </w:rPr>
        <w:t xml:space="preserve"> </w:t>
      </w:r>
      <w:r w:rsidRPr="00C24D02">
        <w:rPr>
          <w:rFonts w:asciiTheme="minorHAnsi" w:hAnsiTheme="minorHAnsi" w:cstheme="minorHAnsi"/>
        </w:rPr>
        <w:t>Panel nezodpověděl námitku týkající se podjatosti hodnotitelů.</w:t>
      </w:r>
    </w:p>
    <w:p w14:paraId="790859DA" w14:textId="27FFB8A9" w:rsidR="00317816" w:rsidRPr="00C24D02"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nesouhlasí s vyjádřením Odborného panelu a navrhuje námitce vyhovět. Navrhujeme přehodnocení na známku 3, neboť článek představuje kvalitní, mezinárodně validovaný výzkumný výstup. Uvedená metodologická omezení (průřezový design, absence kauzálních závěrů) jsou standardní pro klinicko-psychologický výzkum v oblasti PNES a neumenšují empirický přínos studie, který spočívá v originálním systematickém mapování attachmentových vzorců u specifické klinické populace v českém kontextu. Kritika se týká především rozsahu diskuse a formulace implikací, tedy míry rozpracování, nikoli absence </w:t>
      </w:r>
      <w:r w:rsidRPr="00C24D02">
        <w:rPr>
          <w:rFonts w:asciiTheme="minorHAnsi" w:hAnsiTheme="minorHAnsi" w:cstheme="minorHAnsi"/>
        </w:rPr>
        <w:lastRenderedPageBreak/>
        <w:t>přínosu, což může odůvodnit snížení oproti excelentnímu hodnocení. Nepotvrzené otázky možného překryvu dat nebyly doloženy konkrétními důkazy ani shledány porušením publikační etiky, a nemohou proto legitimně vést k výraznému oslabení hodnocení přínosu k poznání.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4BA7144" w14:textId="77777777" w:rsidTr="003D1A59">
        <w:tc>
          <w:tcPr>
            <w:tcW w:w="2405" w:type="dxa"/>
          </w:tcPr>
          <w:p w14:paraId="506BF68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8DCABD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Technická univerzita v Liberci</w:t>
            </w:r>
          </w:p>
        </w:tc>
      </w:tr>
      <w:tr w:rsidR="00317816" w:rsidRPr="00C24D02" w14:paraId="7EDD9326" w14:textId="77777777" w:rsidTr="003D1A59">
        <w:tc>
          <w:tcPr>
            <w:tcW w:w="2405" w:type="dxa"/>
          </w:tcPr>
          <w:p w14:paraId="1F97FCB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4C6EF7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192185161</w:t>
            </w:r>
          </w:p>
        </w:tc>
      </w:tr>
      <w:tr w:rsidR="00317816" w:rsidRPr="00C24D02" w14:paraId="5AF203EC" w14:textId="77777777" w:rsidTr="003D1A59">
        <w:trPr>
          <w:trHeight w:val="741"/>
        </w:trPr>
        <w:tc>
          <w:tcPr>
            <w:tcW w:w="2405" w:type="dxa"/>
          </w:tcPr>
          <w:p w14:paraId="156320B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6EB463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Assessment of economic and environmental energy performance of EU countries using CV-TOPSIS technique</w:t>
            </w:r>
          </w:p>
        </w:tc>
      </w:tr>
      <w:tr w:rsidR="00317816" w:rsidRPr="00C24D02" w14:paraId="203A2DF6" w14:textId="77777777" w:rsidTr="003D1A59">
        <w:tc>
          <w:tcPr>
            <w:tcW w:w="2405" w:type="dxa"/>
          </w:tcPr>
          <w:p w14:paraId="118D614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7DACEB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5.2.</w:t>
            </w:r>
          </w:p>
        </w:tc>
      </w:tr>
      <w:tr w:rsidR="00317816" w:rsidRPr="00C24D02" w14:paraId="3FEF67BF" w14:textId="77777777" w:rsidTr="003D1A59">
        <w:tc>
          <w:tcPr>
            <w:tcW w:w="2405" w:type="dxa"/>
          </w:tcPr>
          <w:p w14:paraId="7301EF3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C43CBD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6A0783A4" w14:textId="77777777" w:rsidTr="003D1A59">
        <w:tc>
          <w:tcPr>
            <w:tcW w:w="2405" w:type="dxa"/>
          </w:tcPr>
          <w:p w14:paraId="5E6BDB2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56"/>
            </w:r>
            <w:r w:rsidRPr="00C24D02">
              <w:rPr>
                <w:rFonts w:asciiTheme="minorHAnsi" w:eastAsia="Calibri" w:hAnsiTheme="minorHAnsi" w:cstheme="minorHAnsi"/>
              </w:rPr>
              <w:t>)</w:t>
            </w:r>
          </w:p>
        </w:tc>
        <w:tc>
          <w:tcPr>
            <w:tcW w:w="6378" w:type="dxa"/>
          </w:tcPr>
          <w:p w14:paraId="6AC3866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4/4/-/4</w:t>
            </w:r>
          </w:p>
        </w:tc>
      </w:tr>
      <w:tr w:rsidR="00317816" w:rsidRPr="00C24D02" w14:paraId="23EF3706" w14:textId="77777777" w:rsidTr="003D1A59">
        <w:tc>
          <w:tcPr>
            <w:tcW w:w="2405" w:type="dxa"/>
          </w:tcPr>
          <w:p w14:paraId="3D52183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1772C67"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3.</w:t>
            </w:r>
          </w:p>
        </w:tc>
      </w:tr>
    </w:tbl>
    <w:p w14:paraId="2B1E9F39" w14:textId="77777777" w:rsidR="00317816" w:rsidRPr="00C24D02" w:rsidRDefault="00317816" w:rsidP="00317816">
      <w:pPr>
        <w:spacing w:after="144" w:line="360" w:lineRule="auto"/>
        <w:rPr>
          <w:rFonts w:asciiTheme="minorHAnsi" w:hAnsiTheme="minorHAnsi" w:cstheme="minorHAnsi"/>
        </w:rPr>
      </w:pPr>
    </w:p>
    <w:p w14:paraId="50CF1078"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Kvalita výsledku</w:t>
      </w:r>
    </w:p>
    <w:p w14:paraId="32B79F5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9698F7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Žádáme o přezkum posudků týkajících se hodnocení přínosu k poznání vědeckého článku „Assessment of economic and environmental energy performance of EU countries using CV-TOPSIS technique“ autorů doc. PhDr. Romana Vavreka, PhD.va Ing. Jany Chovancové, PhD., který byl publikován v roce 2019 v časopise Ecological Indicators, 106, Article 105519, z důvodu zásadního nesouladu mezi obsahem hodnocení a skutečnou vědeckou hodnotou a přínosem k poznání předloženého výsledku. Na základě přiložených posudků byly identifikovány následující body hodnocení, které podle našeho názoru nereflektují mezinárodní význam a kvalitu výsledku.</w:t>
      </w:r>
    </w:p>
    <w:p w14:paraId="71B1E2E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Konstatování, že „hodnocený výsledek byl uveřejněn v respektovaném mezinárodním odborném časopisu zaměřeném na monitoring a hodnocení v environmentální a ekologické oblasti“, nebylo dostatečně akcentováno. O vysoké kvalitě časopisu vypovídá jeho umístění v 1. kvartilu (Q1) podle metriky AIS, JIF a JCI. Zároveň vydavatelství Elsevier je světově renomované a akceptované napříč mezinárodní akademickou sférou.</w:t>
      </w:r>
    </w:p>
    <w:p w14:paraId="5059CE5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Hodnocení vědecké úrovně, náročnosti zpracování a originality jako průměrné nezohledňuje originalitu a přínos výzkumu, který představuje ojedinělou aplikaci ověřeného MCDM přístupu v oblasti ekonomické a environmentální energetické výkonnosti zemí EU.</w:t>
      </w:r>
    </w:p>
    <w:p w14:paraId="204DE28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V posudku 3 je popsán vědecký ohlas: „Je pravdou, že výsledek zaznamenal již desítky citací evidovaných v databázi Google Scholar, ty však nepocházejí ze skutečně renomovaných ekonomických časopisů, ale spíše z multidisciplinárních a environmentálně orientovaných periodik“, což nezohledňuje posudek 1 „Nicméně práce vzbudila určitý zájem u odborné veřejnosti, což dokumentuje jejich 68 citací ve WoS a 93 citací v Google Scholar. Jedná se především o citace v oborově specializovaných časopisech bez výrazného vlivu na střední proud ekonomické vědy nebo na střední proud environmentálních věd. Část těchto citací jsou autocitace autorů v MDPI časopisech jako Sustainability a Energies“. Především kvantita a kvalita citačních ohlasů je významným atributem, podle kterého je možné hodnotit kvalitu samotného publikovaného výzkumu a které jednoznačně ukazují, že se jedná o výsledek mezinárodně uznávaný. K 30. 9. 2025 článek eviduje 94 citací v Google Scholar. Zároveň také v databázi Scopus eviduje 77 citací a v databázi WoS eviduje 68 citací, přičemž tyto citace pocházejí i z renomovaných ekonomických časopisů indexovaných v databáze WoS. …</w:t>
      </w:r>
    </w:p>
    <w:p w14:paraId="66F7553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Z výše uvedených důvodů žádáme o přehodnocení posouzení přínosu k poznání z: 4 – Výsledek národně uznatelný na 3 – Výsledek mezinárodně uznávaný s ohledem na prokázání významného mezinárodního citačního ohlasu.</w:t>
      </w:r>
    </w:p>
    <w:p w14:paraId="398CFD7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Dotčená výzkumná organizace namítá hodnocení výsledku finální známkou 4 (národně uznatelný) a vyjadřuje přesvědčení, že má být hodnocen známkou 3 (mezinárodně uznávaný). Konstatuje přitom „zásadní nesoulad mezi obsahem hodnocení a skutečnou vědeckou hodnotou a přínosem k poznání předloženého výsledku“. V odůvodnění uvádí čtyři body, z nichž se však jen jediný přímo týká vědecké úrovně, náročnosti zpracování a originality výsledku, jež vedly k jeho shodnému, nezávislému hodnocení dvěma předními </w:t>
      </w:r>
      <w:r w:rsidRPr="00C24D02">
        <w:rPr>
          <w:rFonts w:asciiTheme="minorHAnsi" w:hAnsiTheme="minorHAnsi" w:cstheme="minorHAnsi"/>
        </w:rPr>
        <w:lastRenderedPageBreak/>
        <w:t>odborníky z oboru environmentální a energetické ekonomie, potvrzenému garantem. V tomto konkrétním bodu výzkumná organizace zdůrazňuje „originalitu a přínos výzkumu, který představuje ojedinělou aplikaci ověřeného MCDM přístupu v oblasti ekonomické a environmentální energetické výkonnosti zemí EU“. Jak však ve svém posudku uvádí jeden z hodnotitelů, takovéto postupy jsou v zahraniční literatuře aplikovány, což lze i bez problémů prokázat. Samotní autoři se v článku k novosti, inovativnosti a přínosu k existujícímu poznání svého výzkumu nevyjadřují, byť je to očekávané a běžné. Jimi použitá výzkumná metodika je zcela standardní, empirická zjištění jsou toliko prezentována a nejsou nijak diskutována v souvislosti s dosavadními poznatky. Autoři ani nenabízejí zásadnější podněty pro navazující výzkum. O arbitrární volbě indikátorů se zmiňuje již jeden z hodnotitelů, přitom tato volba zásadním způsobem determinuje získané poznatky. Předložený výsledek ani vznesená námitka a její odůvodnění v tomto ohledu nenabízejí žádné přesvědčivé argumenty pro hodnocení přínosu k poznání jako nadprůměrného. A to bez ohledu na uváděné metriky příslušného časopisu, renomé jeho vydavatele, a dosavadní citační ohlasy. Z uvedených důvodů není navrhována změna původního hodnocení a finální známky.</w:t>
      </w:r>
    </w:p>
    <w:p w14:paraId="70E499F1"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0CF298FB"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22BEF8E5" w14:textId="185C065C"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nesouhlasí s vyjádřením Odborného panelu a navrhuje námitce vyhovět. Konkrétně navrhuje přehodnocení hodnocení na známku 3 – výsledek mezinárodně uznávaný, neboť článek byl publikován v kvalitním mezinárodním časopise a vykazuje prokazatelný mezinárodní citační ohlas. Citace pocházejí nejen z multidisciplinárních a environmentálních časopisů, ale i z oborově relevantních ekonomických periodik indexovaných ve WoS, což potvrzuje její reálnou recepci v mezinárodním odborném diskurzu. I při použití standardní metodologie MCDM představuje studie smysluplnou a empiricky využívanou aplikaci na úrovni EU, jejíž přínos se neprojevuje primárně teoretickou inovací, ale praktickým a analytickým využitím v navazujícím výzkumu, jak dokládá rozsah a struktura citačních ohlasů. Ponechání známky 4 je proto v rozporu s empiricky doloženým mezinárodním uznáním výsledku.</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2B61D3C" w14:textId="77777777" w:rsidTr="003D1A59">
        <w:tc>
          <w:tcPr>
            <w:tcW w:w="2405" w:type="dxa"/>
          </w:tcPr>
          <w:p w14:paraId="135F258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Instituce</w:t>
            </w:r>
          </w:p>
        </w:tc>
        <w:tc>
          <w:tcPr>
            <w:tcW w:w="6378" w:type="dxa"/>
          </w:tcPr>
          <w:p w14:paraId="442ECE8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Technická univerzita v Liberci</w:t>
            </w:r>
          </w:p>
        </w:tc>
      </w:tr>
      <w:tr w:rsidR="00317816" w:rsidRPr="00C24D02" w14:paraId="6BD3EA45" w14:textId="77777777" w:rsidTr="003D1A59">
        <w:tc>
          <w:tcPr>
            <w:tcW w:w="2405" w:type="dxa"/>
          </w:tcPr>
          <w:p w14:paraId="2F8C5AD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3686C8D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192149571</w:t>
            </w:r>
          </w:p>
        </w:tc>
      </w:tr>
      <w:tr w:rsidR="00317816" w:rsidRPr="00C24D02" w14:paraId="4453DFFB" w14:textId="77777777" w:rsidTr="003D1A59">
        <w:trPr>
          <w:trHeight w:val="741"/>
        </w:trPr>
        <w:tc>
          <w:tcPr>
            <w:tcW w:w="2405" w:type="dxa"/>
          </w:tcPr>
          <w:p w14:paraId="3BCF572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C50017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Ověřená technologie valchování při výrobě klobouků</w:t>
            </w:r>
          </w:p>
        </w:tc>
      </w:tr>
      <w:tr w:rsidR="00317816" w:rsidRPr="00C24D02" w14:paraId="4F37CBDF" w14:textId="77777777" w:rsidTr="003D1A59">
        <w:tc>
          <w:tcPr>
            <w:tcW w:w="2405" w:type="dxa"/>
          </w:tcPr>
          <w:p w14:paraId="60C4862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E5BB4E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71EE154A" w14:textId="77777777" w:rsidTr="003D1A59">
        <w:tc>
          <w:tcPr>
            <w:tcW w:w="2405" w:type="dxa"/>
          </w:tcPr>
          <w:p w14:paraId="2A950EA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335F813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69D6405A" w14:textId="77777777" w:rsidTr="003D1A59">
        <w:tc>
          <w:tcPr>
            <w:tcW w:w="2405" w:type="dxa"/>
          </w:tcPr>
          <w:p w14:paraId="55B3BC0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57"/>
            </w:r>
            <w:r w:rsidRPr="00C24D02">
              <w:rPr>
                <w:rFonts w:asciiTheme="minorHAnsi" w:eastAsia="Calibri" w:hAnsiTheme="minorHAnsi" w:cstheme="minorHAnsi"/>
              </w:rPr>
              <w:t>)</w:t>
            </w:r>
          </w:p>
        </w:tc>
        <w:tc>
          <w:tcPr>
            <w:tcW w:w="6378" w:type="dxa"/>
          </w:tcPr>
          <w:p w14:paraId="6B424EC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3/4/-/4</w:t>
            </w:r>
          </w:p>
        </w:tc>
      </w:tr>
      <w:tr w:rsidR="00317816" w:rsidRPr="00C24D02" w14:paraId="3E9A3732" w14:textId="77777777" w:rsidTr="003D1A59">
        <w:tc>
          <w:tcPr>
            <w:tcW w:w="2405" w:type="dxa"/>
          </w:tcPr>
          <w:p w14:paraId="5B6F9EE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6430C8F4"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3.</w:t>
            </w:r>
          </w:p>
        </w:tc>
      </w:tr>
    </w:tbl>
    <w:p w14:paraId="3D444AFC" w14:textId="77777777" w:rsidR="00317816" w:rsidRPr="00C24D02" w:rsidRDefault="00317816" w:rsidP="00317816">
      <w:pPr>
        <w:spacing w:after="144" w:line="360" w:lineRule="auto"/>
        <w:rPr>
          <w:rFonts w:asciiTheme="minorHAnsi" w:hAnsiTheme="minorHAnsi" w:cstheme="minorHAnsi"/>
        </w:rPr>
      </w:pPr>
    </w:p>
    <w:p w14:paraId="7FFD8CDF"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 xml:space="preserve">Námitka: </w:t>
      </w:r>
      <w:r w:rsidRPr="00C24D02">
        <w:rPr>
          <w:rFonts w:asciiTheme="minorHAnsi" w:hAnsiTheme="minorHAnsi" w:cstheme="minorHAnsi"/>
          <w:b/>
          <w:bCs/>
        </w:rPr>
        <w:t>přímý ekonomický dopad v ČR</w:t>
      </w:r>
    </w:p>
    <w:p w14:paraId="3D12335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7E491D1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S ohledem na níže uvedené skutečnosti a na kvalitativní stupnici Metodiky 17+ žádáme o revizi hodnocení na minimálně stupeň 3 (velmi dobrá úroveň); s ohledem na mezinárodní ekonomický dopad a exportní charakter aplikace technologie považujeme za odůvodnitelný i stupeň 2 (vynikající úroveň).</w:t>
      </w:r>
    </w:p>
    <w:p w14:paraId="55ED34C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Naše námitky a zdůvodnění jsou založeny na následujících faktech:</w:t>
      </w:r>
    </w:p>
    <w:p w14:paraId="080E65E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1) Prokazatelné technologické a environmentální přínosy</w:t>
      </w:r>
    </w:p>
    <w:p w14:paraId="2B6702F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Plstění a valchování představují klíčové procesy při výrobě klobouků z přírodních vláken, které zásadně ovlivňují výsledný vzhled, pevnost a kvalitu klobouku. Tyto procesy vyžadují značné množství teplé vody a mechanické energie. Při valchování se také využívají chemické látky (např. kyseliny a pomocné látky pro úpravu pH), což výrazným způsobem zatěžuje odpadní vody. Při plstění a valchování se produkuje velké množství odpadní vody, která obsahuje organické znečištění (tuky, bílkoviny, vlákna) a kyseliny (majoritně kyselinu sírovou). Vyvinutá a ověřená technologie spojuje plstění a valchování do jediné výrobní operace na jednom stroji, </w:t>
      </w:r>
      <w:r w:rsidRPr="00C24D02">
        <w:rPr>
          <w:rFonts w:asciiTheme="minorHAnsi" w:hAnsiTheme="minorHAnsi" w:cstheme="minorHAnsi"/>
        </w:rPr>
        <w:lastRenderedPageBreak/>
        <w:t>což významně zkracuje čas zpracování polotovarů, snižuje energetickou náročnost, zmenšuje zástavbovou plochu na čtvrtinu (odpadá nutnost využívat samostatný plstící stroj, což představuje další úsporu zástavbové plochy) a redukuje objem technologické vody o víc než 600 l pro jeden valchovací proces na jednom stroji (současně odpadá nutnost opakovaného ohřevu lázně, protože již není nutná její výměna a opětovné ohřívání na vysokou teplotu). Technologie dále eliminuje několik operací (odstředění po plstění; ochlazení a skladování polotovarů; organizační skládání dávek) a ruší nákladnou každoroční údržbu pracovních válců na původních strojích (cca 900 tis. Kč/stroj/rok). Tyto optimalizace výrazně snižují dopad na životní prostředí a zvyšují efektivnost a kvalitu výroby.</w:t>
      </w:r>
    </w:p>
    <w:p w14:paraId="29E9873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2) Kvantifikace dopadu do výroby</w:t>
      </w:r>
    </w:p>
    <w:p w14:paraId="7EF5E9E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Zavedení technologie v TONAK a.s. vedlo ke zvýšení produkce z ~60 tis. ks na ~85 tis. ks během tří let, s dalším předpokládaným navýšením až o 30 tis. ks (v závislosti na odbytu). Jde o přímou indikaci ekonomického přínosu a posílení konkurenceschopnosti.</w:t>
      </w:r>
    </w:p>
    <w:p w14:paraId="3B1B2C5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3) Uplatnění v praxi a exportní (mezinárodní) dimenze</w:t>
      </w:r>
    </w:p>
    <w:p w14:paraId="1C80F55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Technologie je reálně využívána ve firmě TONAK a.s.; využití je doloženo prohlášením společnosti přiloženým k podkladům. Díky implementaci nové technologie firma TONAK významně posílila svou konkurenceschopnost na globálním trhu. TONAK patří mezi největší světové výrobce klobouků a kloboukových polotovarů; podíl exportu činí cca 95 % s odbytem v Evropě, Japonsku, Austrálii, USA, Brazílii aj. – tj. přímé napojení na zahraniční trhy. Ověřená technologie je tedy především využívána k výrobě zboží pro export. To naplňuje mezinárodní ekonomický dopad dle Metodiky 17+ (kritérium pro stupeň 2).</w:t>
      </w:r>
    </w:p>
    <w:p w14:paraId="1A50445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Shrnutí: Výsledek má přímý ekonomický dopad v ČR (min. stupeň 3) a současně významnou mezinárodní dimenzi dle exportního charakteru výroby ve společnosti TONAK (odůvodňuje stupeň 2).</w:t>
      </w:r>
    </w:p>
    <w:p w14:paraId="1459EF7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Aplikace výsledku ve firmě TONAK je doložena pouze Prohlášením TONAKu, že předmětnou technologii využívá, a že mu umožnila zvýšit kvalitu a užitné vlastnosti vyráběné plsti. Nejsou uvedeny žádné podrobnosti, konkrétní údaje ekonomického charakteru, např. kvantifikace produkce, obratu, míry exportu apod. Doložení takto významného aplikačního potenciálu musí být provedeno řádným způsobem, nikoliv pouhým </w:t>
      </w:r>
      <w:r w:rsidRPr="00C24D02">
        <w:rPr>
          <w:rFonts w:asciiTheme="minorHAnsi" w:hAnsiTheme="minorHAnsi" w:cstheme="minorHAnsi"/>
        </w:rPr>
        <w:lastRenderedPageBreak/>
        <w:t xml:space="preserve">stručným konstatováním. Toto doložení musí být součástí předložené dokumentace. Z uvedeného důvodu považuji udělené hodnocení úrovní 4 za adekvátní. </w:t>
      </w:r>
    </w:p>
    <w:p w14:paraId="59442409"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Vyjádření Odborného panelu:</w:t>
      </w:r>
      <w:r w:rsidRPr="00C24D02">
        <w:rPr>
          <w:rFonts w:asciiTheme="minorHAnsi" w:hAnsiTheme="minorHAnsi" w:cstheme="minorHAnsi"/>
          <w:b/>
        </w:rPr>
        <w:t xml:space="preserve"> </w:t>
      </w:r>
      <w:r w:rsidRPr="00C24D02">
        <w:rPr>
          <w:rFonts w:asciiTheme="minorHAnsi" w:hAnsiTheme="minorHAnsi" w:cstheme="minorHAnsi"/>
        </w:rPr>
        <w:t>Panel navrhuje námitce nevyhovět a ponechat původní hodnocení stupněm 4.</w:t>
      </w:r>
    </w:p>
    <w:p w14:paraId="26274084"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bookmarkStart w:id="27" w:name="_Hlk220512594"/>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7BDAA77A" w14:textId="1D6CBE88" w:rsidR="00317816" w:rsidRPr="00C24D02" w:rsidRDefault="00317816" w:rsidP="00317816">
      <w:pPr>
        <w:spacing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se neztotožňuje s vyjádřením panelu a navrhuje hodnocení 3</w:t>
      </w:r>
      <w:bookmarkStart w:id="28" w:name="_Hlk220511286"/>
      <w:r w:rsidRPr="00C24D02">
        <w:rPr>
          <w:rFonts w:asciiTheme="minorHAnsi" w:hAnsiTheme="minorHAnsi" w:cstheme="minorHAnsi"/>
        </w:rPr>
        <w:t xml:space="preserve">. Výsledné hodnocení není v souladu s udělenou známkou. Výsledek představuje ověřenou technologii implementovanou v průmyslové praxi, která přinesla ekonomické a environmentální přínosy a zvýšila konkurenceschopnost českého výrobce. Proto naplňuje kritéria výsledku na velmi dobré úrovni.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5D25A2A" w14:textId="77777777" w:rsidTr="003D1A59">
        <w:tc>
          <w:tcPr>
            <w:tcW w:w="2405" w:type="dxa"/>
          </w:tcPr>
          <w:bookmarkEnd w:id="27"/>
          <w:bookmarkEnd w:id="28"/>
          <w:p w14:paraId="0E57ED4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9" w:type="dxa"/>
          </w:tcPr>
          <w:p w14:paraId="5E37981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Technická univerzita v Liberci</w:t>
            </w:r>
          </w:p>
        </w:tc>
      </w:tr>
      <w:tr w:rsidR="00317816" w:rsidRPr="00C24D02" w14:paraId="4D8B1ED3" w14:textId="77777777" w:rsidTr="003D1A59">
        <w:tc>
          <w:tcPr>
            <w:tcW w:w="2405" w:type="dxa"/>
          </w:tcPr>
          <w:p w14:paraId="41D9AC6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9" w:type="dxa"/>
          </w:tcPr>
          <w:p w14:paraId="56B7357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192453376</w:t>
            </w:r>
          </w:p>
        </w:tc>
      </w:tr>
      <w:tr w:rsidR="00317816" w:rsidRPr="00C24D02" w14:paraId="264B7A8E" w14:textId="77777777" w:rsidTr="003D1A59">
        <w:trPr>
          <w:trHeight w:val="741"/>
        </w:trPr>
        <w:tc>
          <w:tcPr>
            <w:tcW w:w="2405" w:type="dxa"/>
          </w:tcPr>
          <w:p w14:paraId="6D2A638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9" w:type="dxa"/>
          </w:tcPr>
          <w:p w14:paraId="0E3870C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Brzda pro kolejové vozidlo</w:t>
            </w:r>
          </w:p>
        </w:tc>
      </w:tr>
      <w:tr w:rsidR="00317816" w:rsidRPr="00C24D02" w14:paraId="38ADCA97" w14:textId="77777777" w:rsidTr="003D1A59">
        <w:tc>
          <w:tcPr>
            <w:tcW w:w="2405" w:type="dxa"/>
          </w:tcPr>
          <w:p w14:paraId="38A9618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9" w:type="dxa"/>
          </w:tcPr>
          <w:p w14:paraId="550EED2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4C9D6646" w14:textId="77777777" w:rsidTr="003D1A59">
        <w:tc>
          <w:tcPr>
            <w:tcW w:w="2405" w:type="dxa"/>
          </w:tcPr>
          <w:p w14:paraId="7E41C44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9" w:type="dxa"/>
          </w:tcPr>
          <w:p w14:paraId="3C13547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1F2ACA4C" w14:textId="77777777" w:rsidTr="003D1A59">
        <w:trPr>
          <w:trHeight w:val="1178"/>
        </w:trPr>
        <w:tc>
          <w:tcPr>
            <w:tcW w:w="2405" w:type="dxa"/>
          </w:tcPr>
          <w:p w14:paraId="4D6978F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58"/>
            </w:r>
            <w:r w:rsidRPr="00C24D02">
              <w:rPr>
                <w:rFonts w:asciiTheme="minorHAnsi" w:eastAsia="Calibri" w:hAnsiTheme="minorHAnsi" w:cstheme="minorHAnsi"/>
              </w:rPr>
              <w:t>)</w:t>
            </w:r>
          </w:p>
        </w:tc>
        <w:tc>
          <w:tcPr>
            <w:tcW w:w="6379" w:type="dxa"/>
          </w:tcPr>
          <w:p w14:paraId="6252D7B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2/4/4/4</w:t>
            </w:r>
          </w:p>
        </w:tc>
      </w:tr>
      <w:tr w:rsidR="00317816" w:rsidRPr="00C24D02" w14:paraId="6890649B" w14:textId="77777777" w:rsidTr="003D1A59">
        <w:tc>
          <w:tcPr>
            <w:tcW w:w="2405" w:type="dxa"/>
          </w:tcPr>
          <w:p w14:paraId="479F834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9" w:type="dxa"/>
          </w:tcPr>
          <w:p w14:paraId="4D7C0113"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3.</w:t>
            </w:r>
          </w:p>
          <w:p w14:paraId="29421E47" w14:textId="77777777" w:rsidR="00317816" w:rsidRPr="00C24D02" w:rsidRDefault="00317816" w:rsidP="003D1A59">
            <w:pPr>
              <w:widowControl w:val="0"/>
              <w:spacing w:after="144" w:line="360" w:lineRule="auto"/>
              <w:rPr>
                <w:rFonts w:asciiTheme="minorHAnsi" w:eastAsia="Calibri" w:hAnsiTheme="minorHAnsi" w:cstheme="minorHAnsi"/>
                <w:b/>
              </w:rPr>
            </w:pPr>
          </w:p>
        </w:tc>
      </w:tr>
    </w:tbl>
    <w:p w14:paraId="06706DD9" w14:textId="77777777" w:rsidR="00317816" w:rsidRPr="00C24D02" w:rsidRDefault="00317816" w:rsidP="00317816">
      <w:pPr>
        <w:spacing w:after="144" w:line="360" w:lineRule="auto"/>
        <w:rPr>
          <w:rFonts w:asciiTheme="minorHAnsi" w:hAnsiTheme="minorHAnsi" w:cstheme="minorHAnsi"/>
        </w:rPr>
      </w:pPr>
    </w:p>
    <w:p w14:paraId="2232C1A6"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Výsledek na vynikající úrovni</w:t>
      </w:r>
    </w:p>
    <w:p w14:paraId="103BD06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61B6C3C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….Relevance předkládaného výsledku je jednoznačně prokázána v níže uvedených bodech jak na úrovni ekonomického dopadu, tak i na úrovni společenského:</w:t>
      </w:r>
    </w:p>
    <w:p w14:paraId="3B808FC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Jedná se o výrobek, na kterém proběhl úspěšný výzkum a vývoj, který je jednoznačně prokázán inovativnosti řešení, které je podloženo i patentem číslo CZ 305171s názvem Uspořádání brzdy, zejména pro kolejová vozidla. V navrženém uspořádání brzdy bylo například zkoumáno několik variant tvarů, materiálů a speciálních povrchových úprav kontaktních dvojic pro zajištění nižších energetických provozních nároků brzdy v celém jejím pracovním rozsahu. Tyto detaily jsou potom součástí komplexního řešení, které spolehlivě pracuje v extrémních podmínkách neodpružené části podvozku kolejového vozidla.</w:t>
      </w:r>
    </w:p>
    <w:p w14:paraId="4E18251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Jedná se o výrobek, který se následně prosadil na mezinárodním trhu, o čemž svědčí doložený dokument od společnosti DAKO-CZ, a.s. a zakoupení patentu tohoto řešení od Technické univerzity v Liberci.</w:t>
      </w:r>
    </w:p>
    <w:p w14:paraId="0F531FB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Výrobek je nadále vyvíjen a aplikován na dalších kolejových vozidlech, čímž dává práci ve vývoji, výrobě a následném servisu zaměstnancům společnosti DAKO-CZ, a.s. a z prodeje brzd jsou odváděny daně v České republice.</w:t>
      </w:r>
    </w:p>
    <w:p w14:paraId="02F3C8A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Prostředky hromadné dopravy, kde je elektromechanická brzda aplikována, přepraví statisíce cestujících ročně, proto musí brzda zajistit jejich stoprocentní bezpečnost za všech jízdních a klimatických podmínek.</w:t>
      </w:r>
    </w:p>
    <w:p w14:paraId="5D668CF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V předloženém řešení elektromechanické brzdy není využíváno přirozeně hydraulické kapaliny, což zajištuje šetrnost brzdy k životnímu prostředí.</w:t>
      </w:r>
    </w:p>
    <w:p w14:paraId="423A735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Závěr: Výsledek naplňuje základní hodnotící kritéria podle stupně 2 ve smyslu citace Metodiky 17+ v odstavci A tohoto odvolání.</w:t>
      </w:r>
    </w:p>
    <w:p w14:paraId="576897E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Technická univerzita v Liberci respektuje nastavená pravidla hodnocení výzkumu a vývoje v Modulu 1. Při přípravě podkladů a zdůvodnění výběru výsledků do M1 postupujeme velmi zodpovědně. Proto bychom byli rádi, aby i hodnotitelé a panelisté přistupovali k hodnocení výsledků stejně zodpovědně, jako naši pracovníci přistupují k přípravě zdůvodnění.</w:t>
      </w:r>
    </w:p>
    <w:p w14:paraId="6297EF4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Doložení aplikačního potenciálu je provedeno prohlášením firmy DAKO-CZ ohledně využití předmětného zařízení na tramvajích, které byly dodány do několika evropských měst. Chybí ovšem související ekonomická data, která by dokladovala míru tohoto aplikačního potenciálu. </w:t>
      </w:r>
    </w:p>
    <w:p w14:paraId="79C259E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Rovněž je třeba zohlednit, že se zde jedná o výsledek běžného konstrukčního vývoje za využití standardních nástrojů. Popis technického řešení v předložené dokumentaci zahrnuje text v rozsahu pouze 12 řádků, což je zjevně nedostatečné. Popis inovativnosti předmětného řešení, který je uveden v námitce není součástí předložené dokumentace. Předmětem hodnocení je rovněž funkční vzorek, nikoliv patent, který je v námitce zmíněn. Tento patent rovněž není součástí dokumentace. Podkladem pro hodnocení je pouze předložená dokumentace, nikoliv dodatečně předložená fakta. Souhlasím proto s H3 v tom smyslu, že zdůvodnění je provedeno nedostatečným způsobem a udělené hodnocení úrovní 4 považuji za adekvátní.</w:t>
      </w:r>
    </w:p>
    <w:p w14:paraId="2FFF7265"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75D45C30" w14:textId="77777777" w:rsidR="00317816" w:rsidRPr="00C24D02" w:rsidRDefault="00317816" w:rsidP="00317816">
      <w:pPr>
        <w:spacing w:before="240" w:after="144" w:line="360" w:lineRule="auto"/>
        <w:jc w:val="both"/>
        <w:rPr>
          <w:rFonts w:asciiTheme="minorHAnsi" w:hAnsiTheme="minorHAnsi" w:cstheme="minorHAnsi"/>
          <w:b/>
          <w:strike/>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
        </w:rPr>
        <w:t xml:space="preserve"> </w:t>
      </w:r>
      <w:r w:rsidRPr="00C24D02">
        <w:rPr>
          <w:rFonts w:asciiTheme="minorHAnsi" w:hAnsiTheme="minorHAnsi" w:cstheme="minorHAnsi"/>
        </w:rPr>
        <w:t xml:space="preserve">Při hodnocení je nutno postupovat dle oddílu </w:t>
      </w:r>
      <w:r w:rsidRPr="00C24D02">
        <w:rPr>
          <w:rFonts w:asciiTheme="minorHAnsi" w:hAnsiTheme="minorHAnsi" w:cstheme="minorHAnsi"/>
          <w:b/>
          <w:bCs/>
        </w:rPr>
        <w:t>4.2.4 Zpřístupnění výsledků</w:t>
      </w:r>
      <w:r w:rsidRPr="00C24D02">
        <w:rPr>
          <w:rFonts w:asciiTheme="minorHAnsi" w:hAnsiTheme="minorHAnsi" w:cstheme="minorHAnsi"/>
        </w:rPr>
        <w:t>, písmene a), Postupu</w:t>
      </w:r>
      <w:r w:rsidRPr="00C24D02">
        <w:rPr>
          <w:rStyle w:val="Znakapoznpodarou"/>
          <w:rFonts w:asciiTheme="minorHAnsi" w:eastAsiaTheme="majorEastAsia" w:hAnsiTheme="minorHAnsi" w:cstheme="minorHAnsi"/>
        </w:rPr>
        <w:footnoteReference w:id="59"/>
      </w:r>
      <w:r w:rsidRPr="00C24D02">
        <w:rPr>
          <w:rFonts w:asciiTheme="minorHAnsi" w:hAnsiTheme="minorHAnsi" w:cstheme="minorHAnsi"/>
        </w:rPr>
        <w:t>, ve kterém je uvedeno: “</w:t>
      </w:r>
      <w:r w:rsidRPr="00C24D02">
        <w:rPr>
          <w:rFonts w:asciiTheme="minorHAnsi" w:hAnsiTheme="minorHAnsi" w:cstheme="minorHAnsi"/>
          <w:i/>
          <w:iCs/>
        </w:rPr>
        <w:t>Výzkumná organizace zajistí posouzení vybraných výsledků tak, že je vloží v elektronické podobě do aplikace pro sběr vybraných výsledků. V případě výsledků, které nelze z jejich povahy takto předložit, vkládá výzkumná organizace příslušnou dokumentaci popisující vybraný výsledek a další podpůrné informace. Místo souboru s výsledkem je možné vložit odkaz na úložiště, kde je tento soubor nahrán, nesmí se však jednat o úložiště, které je zpoplatněné (např. JSTOR).“</w:t>
      </w:r>
    </w:p>
    <w:p w14:paraId="5ECE60BE" w14:textId="6FD62957" w:rsidR="00317816" w:rsidRPr="003C778F" w:rsidRDefault="00317816" w:rsidP="003C778F">
      <w:pPr>
        <w:spacing w:line="360" w:lineRule="auto"/>
        <w:jc w:val="both"/>
        <w:rPr>
          <w:rFonts w:asciiTheme="minorHAnsi" w:eastAsia="Calibri" w:hAnsiTheme="minorHAnsi" w:cstheme="minorHAnsi"/>
        </w:rPr>
      </w:pPr>
      <w:r w:rsidRPr="00C24D02">
        <w:rPr>
          <w:rFonts w:asciiTheme="minorHAnsi" w:eastAsia="Calibri" w:hAnsiTheme="minorHAnsi" w:cstheme="minorHAnsi"/>
          <w:b/>
          <w:bCs/>
          <w:u w:val="single"/>
        </w:rPr>
        <w:t>Závěr KHV</w:t>
      </w:r>
      <w:r w:rsidRPr="00C24D02">
        <w:rPr>
          <w:rFonts w:asciiTheme="minorHAnsi" w:eastAsia="Calibri" w:hAnsiTheme="minorHAnsi" w:cstheme="minorHAnsi"/>
          <w:b/>
          <w:bCs/>
        </w:rPr>
        <w:t xml:space="preserve">: </w:t>
      </w:r>
      <w:r w:rsidRPr="00C24D02">
        <w:rPr>
          <w:rFonts w:asciiTheme="minorHAnsi" w:eastAsia="Calibri" w:hAnsiTheme="minorHAnsi" w:cstheme="minorHAnsi"/>
        </w:rPr>
        <w:t xml:space="preserve">KHV nesouhlasí s původně navrženým hodnocením a navrhuje podle stávajících pravidel hodnocení 3. </w:t>
      </w:r>
      <w:r w:rsidRPr="00C24D02">
        <w:rPr>
          <w:rFonts w:asciiTheme="minorHAnsi" w:hAnsiTheme="minorHAnsi" w:cstheme="minorHAnsi"/>
        </w:rPr>
        <w:t>Výsledek představuje ověřenou technologii reálně implementovanou v průmyslové praxi, která přinesla měřitelné ekonomické a environmentální přínosy a zvýšila konkurenceschopnost českého výrobce, a proto naplňuje kritéria výsledku na velmi dobré úrovni.</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0DE119B7" w14:textId="77777777" w:rsidTr="003D1A59">
        <w:tc>
          <w:tcPr>
            <w:tcW w:w="2405" w:type="dxa"/>
          </w:tcPr>
          <w:p w14:paraId="2E62405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0A4B82A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Technická univerzita v Liberci</w:t>
            </w:r>
          </w:p>
        </w:tc>
      </w:tr>
      <w:tr w:rsidR="00317816" w:rsidRPr="00C24D02" w14:paraId="02BC62C4" w14:textId="77777777" w:rsidTr="003D1A59">
        <w:tc>
          <w:tcPr>
            <w:tcW w:w="2405" w:type="dxa"/>
          </w:tcPr>
          <w:p w14:paraId="0FA4466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C2E2E8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192453378</w:t>
            </w:r>
          </w:p>
        </w:tc>
      </w:tr>
      <w:tr w:rsidR="00317816" w:rsidRPr="00C24D02" w14:paraId="07DDE407" w14:textId="77777777" w:rsidTr="003D1A59">
        <w:trPr>
          <w:trHeight w:val="741"/>
        </w:trPr>
        <w:tc>
          <w:tcPr>
            <w:tcW w:w="2405" w:type="dxa"/>
          </w:tcPr>
          <w:p w14:paraId="1025ABA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03622B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Zapalovací svíčka s integrovanou komůrkou pro kogenerační jednotky</w:t>
            </w:r>
          </w:p>
        </w:tc>
      </w:tr>
      <w:tr w:rsidR="00317816" w:rsidRPr="00C24D02" w14:paraId="063D1FA7" w14:textId="77777777" w:rsidTr="003D1A59">
        <w:tc>
          <w:tcPr>
            <w:tcW w:w="2405" w:type="dxa"/>
          </w:tcPr>
          <w:p w14:paraId="6681A07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FORD</w:t>
            </w:r>
          </w:p>
        </w:tc>
        <w:tc>
          <w:tcPr>
            <w:tcW w:w="6378" w:type="dxa"/>
          </w:tcPr>
          <w:p w14:paraId="15F5800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3EBB0C2E" w14:textId="77777777" w:rsidTr="003D1A59">
        <w:tc>
          <w:tcPr>
            <w:tcW w:w="2405" w:type="dxa"/>
          </w:tcPr>
          <w:p w14:paraId="71F4095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3A17D10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1AB36637" w14:textId="77777777" w:rsidTr="003D1A59">
        <w:tc>
          <w:tcPr>
            <w:tcW w:w="2405" w:type="dxa"/>
          </w:tcPr>
          <w:p w14:paraId="28CF063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60"/>
            </w:r>
            <w:r w:rsidRPr="00C24D02">
              <w:rPr>
                <w:rFonts w:asciiTheme="minorHAnsi" w:eastAsia="Calibri" w:hAnsiTheme="minorHAnsi" w:cstheme="minorHAnsi"/>
              </w:rPr>
              <w:t>)</w:t>
            </w:r>
          </w:p>
        </w:tc>
        <w:tc>
          <w:tcPr>
            <w:tcW w:w="6378" w:type="dxa"/>
          </w:tcPr>
          <w:p w14:paraId="292F67F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4/4/-/4</w:t>
            </w:r>
          </w:p>
        </w:tc>
      </w:tr>
      <w:tr w:rsidR="00317816" w:rsidRPr="00C24D02" w14:paraId="712C41E4" w14:textId="77777777" w:rsidTr="003D1A59">
        <w:tc>
          <w:tcPr>
            <w:tcW w:w="2405" w:type="dxa"/>
          </w:tcPr>
          <w:p w14:paraId="6F65016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0F3B9D1"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3.</w:t>
            </w:r>
          </w:p>
        </w:tc>
      </w:tr>
    </w:tbl>
    <w:p w14:paraId="49E8C628" w14:textId="77777777" w:rsidR="00317816" w:rsidRPr="00C24D02" w:rsidRDefault="00317816" w:rsidP="00317816">
      <w:pPr>
        <w:spacing w:after="144" w:line="360" w:lineRule="auto"/>
        <w:rPr>
          <w:rFonts w:asciiTheme="minorHAnsi" w:hAnsiTheme="minorHAnsi" w:cstheme="minorHAnsi"/>
        </w:rPr>
      </w:pPr>
    </w:p>
    <w:p w14:paraId="0206CFF7"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Výsledek na kvalitativní úrovni</w:t>
      </w:r>
    </w:p>
    <w:p w14:paraId="5A64EBA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6CB0627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Předložený text hodnoceného výstupu je v naprosté technické shodě s patentovou přihláškou, na kterou je proveden odkaz. Text není záměrně použit doslovně, pouze je využita jeho nejdůležitější část a předložený obrázek odpovídá řezu funkčního vzorku aplikovaného řešení o velikosti svíčky s integrovanou komůrkou M12x1.25 (v dokumentu popisující funkční vzorek je uvedeno označení ZSIK M12, které se vztahuje k uvedené velikosti svíčky s integrovanou komůrkou). V době podání patentu se pracovalo se zapalovací svíčkou s integrovanou komůrkou o rozměru M14x1.25. Svíčka s integrovanou komůrkou o tomto větším rozměru se na trh nedostala. Na trhu se uplatnila až později vyvinutá svíčka s integrovanou komůrkou o rozměru M12x1.25, ke které je vztažen předložený výstup (ZSIK M12). Pozorný čtenář tuto technickou shodu v popisu nalezne.</w:t>
      </w:r>
    </w:p>
    <w:p w14:paraId="45BE846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Jména původců nejsou ve 100% shodě s patentovou přihláškou, protože tým okolo profesora Berouna v době časového odstupu mezi patentem a předloženým funkčním vzorkem „menší“ zapalovací svíčky s integrovanou svíčkou byl doplněn o nového člena – studenta doktorského studia pana Procházku, který se významným způsobem podílel na vývoji nového konstrukčního uspořádání svíčky s integrovanou komůrkou M12x1.25. Tým profesora Berouna prováděl měření jak na Technické univerzitě v Liberci, tak ve společnosti Škoda Auto. Velkou motivací týmu autorů uvedených u funkčního vzorku byla aplikace svíčky s integrovanou komůrkou u osobních vozidel, proto byla prováděna srovnávací měření různých </w:t>
      </w:r>
      <w:r w:rsidRPr="00C24D02">
        <w:rPr>
          <w:rFonts w:asciiTheme="minorHAnsi" w:hAnsiTheme="minorHAnsi" w:cstheme="minorHAnsi"/>
        </w:rPr>
        <w:lastRenderedPageBreak/>
        <w:t>typů uspořádání svíček s integrovanou komůrkou (výrobní dokumentace vznikala na půdě Technické univerzity v Liberci). Na provedených měřeních bylo prokázáno zlepšení výkonových parametrů spalovacího motoru používajícího svíčku ZSIK M12x1.25 v režimu vyšších zatížení. Získané poznatky z různých variant konstrukčního uspořádání svíček s integrovanou komůrkou a prokázané výhody na základě rozsáhlého výzkumu prováděného pracovníky Technické univerzity v Liberci proto pomohly k aplikaci svíčky s integrovanou komůrkou v kogeneračních jednotkách, které právě pracují v režimech vysokého zatížení. Firma Brisk tak získala významný podklad pro uvedení tohoto inovativního řešení svíčky na trh, které deklaruje přiloženým dokumentem. Prosadit se na vysoce konkurenčním trhu zapalovacích svíček není jednoduché, proto je uvedení nového typu svíčky s integrovanou komůrkou velkým technickým úspěchem. Z důvodu vysoce konkurenčního prostředí jsou v přiloženém dokumentu společností Brisk deklarovány roční prodeje o objemu několika set kusů svíček s integrovanou komůrkou na mezinárodním trhu, která vychází z předloženého funkčního vzorku.</w:t>
      </w:r>
    </w:p>
    <w:p w14:paraId="38EAA2D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Nesouhlasíme s hodnocením H2, že by byl výsledek dosažen zcela běžnými konstrukčními postupy. K vývoji zapalovací svíčky je třeba propojit znalosti z oblasti konstrukce, termodynamiky, materiálů, technologie, moderních zkušebních a simulačních metod. Jedná se o komplexní a časově náročnou problematiku, u které je potřeba také znát procesy tvorby směsi a rozvoje hoření ve spalovacím prostoru motoru, které zásadním způsobem ovlivňují výkonové a emisní parametry. Při vývoji zapalovací svíčky s integrovanou komůrkou bylo využito nadstandardního vybavení včetně speciální vizualizační techniky, která umožnila objasnit a kvantifikovat proces hoření uvnitř spalovacího prostoru. V kombinaci s indikačním zařízením, které provádí rychlé měření tlaku uvnitř spalovacího prostoru, bylo možno najít vhodné konstrukční řešení zapalovací svíčky. Klasické zapalovací svíčky, tak zmiňované zapalovací svíčky s integrovanou komůrkou musí dlouhodobě vykazovat stále parametry, a to zejména v extrémních teplotních podmínkách. Pro předkládané řešení svíčky s integrovanou komůrkou se podařilo tedy najít spolehlivé konstrukční, materiálové a technologické řešení, které je parametrově stálé a nezkracuje dobu výměny svíček. Důvody, proč se zapalovací svíčky s integrovanou komůrkou uplatnily nejenom na trhu v ČR, ale i v zahraničí trzích i mimoevropských, bylo zlepšení provozních parametrů motoru v určitých režimech, ve kterých došlo ke zlepšení spalovacího procesu (snížení mezicyklové variability, urychlení hoření, </w:t>
      </w:r>
      <w:r w:rsidRPr="00C24D02">
        <w:rPr>
          <w:rFonts w:asciiTheme="minorHAnsi" w:hAnsiTheme="minorHAnsi" w:cstheme="minorHAnsi"/>
        </w:rPr>
        <w:lastRenderedPageBreak/>
        <w:t>posunu hranice klepání) a snížení výfukových emisí oproti použití standardních běžně dostupných zapalovacích svíček – dosažení vyšší celkové účinnosti motoru.</w:t>
      </w:r>
    </w:p>
    <w:p w14:paraId="1C76AF4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Vyjádření garanta/panelisty je formální a bez jakékoli reflexe na obsah a pochybení posudků hodnotitelů H1 a H2. </w:t>
      </w:r>
    </w:p>
    <w:p w14:paraId="102F437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Potvrzení společnosti Brisk zcela jasně garantuje výrobu a prodej zapalovací svíčky, která vychází z předloženého funkčního vzorku svíčky s integrovanou komůrkou M12x1.25 na mezinárodním trhu. Možná na první pohled vypadá zapalovací svíčka jako „běžně známá věc“, ale i zde se stále nachází prostor pro další zlepšení, což dokazuje provedený výzkum a vývoj. Na svíčce s integrovanou komůrkou proběhl rozsáhlý výzkum tvorby a spalovaní směsi, na kterém byl ověřen zcela inovativní přístup. Inovativnost řešení je podložena i patentem číslo CZ 307354 B6 s názvem Zapalovací svíčka. </w:t>
      </w:r>
    </w:p>
    <w:p w14:paraId="003AD0D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Jednoznačným pozitivním společenským dopadem je zvýšení celkové účinnosti provozu spalovacího motoru kogeneračních jednotek využívajících zapalovací svíčky s integrovanou komůrkou oproti použití standardních zapalovacích svíček, což sebou přináší nižší potřebu paliva a nižší emise výfukových plynů. To je přínosem pro zvýšení ekologičnosti provozu kogeneračních jednotek, které na různých místech celého světa fungují jako komplexní energetické systémy.</w:t>
      </w:r>
    </w:p>
    <w:p w14:paraId="6B6AA7F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Výsledek naplňuje základní hodnotící kritéria podle stupně 2 ve smyslu citace Metodiky 17+ v odstavci A tohoto odvolání.</w:t>
      </w:r>
    </w:p>
    <w:p w14:paraId="75B9883D"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Doložení aplikačního potenciálu je provedeno prohlášením firmy Brisk ohledně využití výsledku, avšak bez dalších souvisejících údajů, např. ekonomického charakteru. Stanovisko obou hodnotitelů je argumentačně podloženo. Předložená dokumentace zahrnuje pouze stručný technický popis, ze kterého není zřejmá míra inovativnosti. Předmětem hodnocení je funkční vzorek, nikoliv patent, který je v námitce zmíněn. Tento patent není součástí dokumentace. Podkladem pro hodnocení je pouze předložená dokumentace, nikoliv dodatečně předložená fakta. Zdůvodnění inovativnosti a doložení aplikačního potenciálu je provedeno nedostatečným způsobem a udělené hodnocení úrovní 4 považuji za adekvátní.</w:t>
      </w:r>
    </w:p>
    <w:p w14:paraId="69AC8385"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lastRenderedPageBreak/>
        <w:t xml:space="preserve">Vyjádření Odborného panelu: </w:t>
      </w:r>
      <w:r w:rsidRPr="00C24D02">
        <w:rPr>
          <w:rFonts w:asciiTheme="minorHAnsi" w:hAnsiTheme="minorHAnsi" w:cstheme="minorHAnsi"/>
        </w:rPr>
        <w:t>Panel navrhuje námitce nevyhovět a ponechat původní hodnocení stupněm 4.</w:t>
      </w:r>
    </w:p>
    <w:p w14:paraId="1A3E6CCC" w14:textId="77777777" w:rsidR="00317816" w:rsidRPr="00C24D02" w:rsidRDefault="00317816" w:rsidP="00317816">
      <w:pPr>
        <w:spacing w:before="240" w:after="144" w:line="360" w:lineRule="auto"/>
        <w:jc w:val="both"/>
        <w:rPr>
          <w:rFonts w:asciiTheme="minorHAnsi" w:hAnsiTheme="minorHAnsi" w:cstheme="minorHAnsi"/>
          <w:b/>
          <w:strike/>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
        </w:rPr>
        <w:t xml:space="preserve"> </w:t>
      </w:r>
      <w:r w:rsidRPr="00C24D02">
        <w:rPr>
          <w:rFonts w:asciiTheme="minorHAnsi" w:hAnsiTheme="minorHAnsi" w:cstheme="minorHAnsi"/>
        </w:rPr>
        <w:t xml:space="preserve">Při hodnocení je nutno postupovat dle oddílu </w:t>
      </w:r>
      <w:r w:rsidRPr="00C24D02">
        <w:rPr>
          <w:rFonts w:asciiTheme="minorHAnsi" w:hAnsiTheme="minorHAnsi" w:cstheme="minorHAnsi"/>
          <w:b/>
          <w:bCs/>
        </w:rPr>
        <w:t>4.2.4 Zpřístupnění výsledků</w:t>
      </w:r>
      <w:r w:rsidRPr="00C24D02">
        <w:rPr>
          <w:rFonts w:asciiTheme="minorHAnsi" w:hAnsiTheme="minorHAnsi" w:cstheme="minorHAnsi"/>
        </w:rPr>
        <w:t>, písmene a), Postupu</w:t>
      </w:r>
      <w:r w:rsidRPr="00C24D02">
        <w:rPr>
          <w:rStyle w:val="Znakapoznpodarou"/>
          <w:rFonts w:asciiTheme="minorHAnsi" w:eastAsiaTheme="majorEastAsia" w:hAnsiTheme="minorHAnsi" w:cstheme="minorHAnsi"/>
        </w:rPr>
        <w:footnoteReference w:id="61"/>
      </w:r>
      <w:r w:rsidRPr="00C24D02">
        <w:rPr>
          <w:rFonts w:asciiTheme="minorHAnsi" w:hAnsiTheme="minorHAnsi" w:cstheme="minorHAnsi"/>
        </w:rPr>
        <w:t>, ve kterém je uvedeno:“</w:t>
      </w:r>
      <w:r w:rsidRPr="00C24D02">
        <w:rPr>
          <w:rFonts w:asciiTheme="minorHAnsi" w:hAnsiTheme="minorHAnsi" w:cstheme="minorHAnsi"/>
          <w:i/>
          <w:iCs/>
        </w:rPr>
        <w:t>Výzkumná organizace zajistí posouzení vybraných výsledků tak, že je vloží v elektronické podobě do aplikace pro sběr vybraných výsledků. V případě výsledků, které nelze z jejich povahy takto předložit, vkládá výzkumná organizace příslušnou dokumentaci popisující vybraný výsledek a další podpůrné informace. Místo souboru s výsledkem je možné vložit odkaz na úložiště, kde je tento soubor nahrán, nesmí se však jednat o úložiště, které je zpoplatněné (např. JSTOR).“</w:t>
      </w:r>
    </w:p>
    <w:p w14:paraId="29F51362" w14:textId="05FCE8D1" w:rsidR="00317816" w:rsidRPr="00C24D02" w:rsidRDefault="00317816" w:rsidP="003C778F">
      <w:pPr>
        <w:spacing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nesouhlasí s původním hodnocením a navrhuje hodnocení 3. Původní hodnocení není v souladu s udělenou známkou. Posuzovaný výsledek byl vyvinut ve spolupráci s průmyslovým partnerem a byl reálně uplatněn v praxi. Jeho využití přineslo měřitelný ekonomický a environmentální přínos, zejména ve formě zvýšení účinnosti spalovacího procesu a snížení spotřeby paliva a emisí. Výsledek byl uplatněn na českém trhu a v omezeném rozsahu také na zahraničních trzích. Na základě doložených skutečností proto naplňuje kritéria výsledku na velmi dobré úrovni.</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4DEFE02" w14:textId="77777777" w:rsidTr="003D1A59">
        <w:tc>
          <w:tcPr>
            <w:tcW w:w="2405" w:type="dxa"/>
          </w:tcPr>
          <w:p w14:paraId="39F55C4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4E2338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Univerzita Pardubice</w:t>
            </w:r>
          </w:p>
        </w:tc>
      </w:tr>
      <w:tr w:rsidR="00317816" w:rsidRPr="00C24D02" w14:paraId="4E81BBC9" w14:textId="77777777" w:rsidTr="003D1A59">
        <w:tc>
          <w:tcPr>
            <w:tcW w:w="2405" w:type="dxa"/>
          </w:tcPr>
          <w:p w14:paraId="39C36F4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199043B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192447389</w:t>
            </w:r>
          </w:p>
        </w:tc>
      </w:tr>
      <w:tr w:rsidR="00317816" w:rsidRPr="00C24D02" w14:paraId="24F15BE0" w14:textId="77777777" w:rsidTr="003D1A59">
        <w:trPr>
          <w:trHeight w:val="741"/>
        </w:trPr>
        <w:tc>
          <w:tcPr>
            <w:tcW w:w="2405" w:type="dxa"/>
          </w:tcPr>
          <w:p w14:paraId="620DE9B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4ACC915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Conservation of plaster část</w:t>
            </w:r>
          </w:p>
        </w:tc>
      </w:tr>
      <w:tr w:rsidR="00317816" w:rsidRPr="00C24D02" w14:paraId="6005B456" w14:textId="77777777" w:rsidTr="003D1A59">
        <w:tc>
          <w:tcPr>
            <w:tcW w:w="2405" w:type="dxa"/>
          </w:tcPr>
          <w:p w14:paraId="5A5E77F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52D258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6.4.</w:t>
            </w:r>
          </w:p>
        </w:tc>
      </w:tr>
      <w:tr w:rsidR="00317816" w:rsidRPr="00C24D02" w14:paraId="6340109E" w14:textId="77777777" w:rsidTr="003D1A59">
        <w:tc>
          <w:tcPr>
            <w:tcW w:w="2405" w:type="dxa"/>
          </w:tcPr>
          <w:p w14:paraId="55E430A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E2BD96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0E365DFD" w14:textId="77777777" w:rsidTr="003D1A59">
        <w:tc>
          <w:tcPr>
            <w:tcW w:w="2405" w:type="dxa"/>
          </w:tcPr>
          <w:p w14:paraId="2BCA733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62"/>
            </w:r>
            <w:r w:rsidRPr="00C24D02">
              <w:rPr>
                <w:rFonts w:asciiTheme="minorHAnsi" w:eastAsia="Calibri" w:hAnsiTheme="minorHAnsi" w:cstheme="minorHAnsi"/>
              </w:rPr>
              <w:t>)</w:t>
            </w:r>
          </w:p>
        </w:tc>
        <w:tc>
          <w:tcPr>
            <w:tcW w:w="6378" w:type="dxa"/>
          </w:tcPr>
          <w:p w14:paraId="10B1C09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3/2/-/3</w:t>
            </w:r>
          </w:p>
        </w:tc>
      </w:tr>
      <w:tr w:rsidR="00317816" w:rsidRPr="00C24D02" w14:paraId="45350094" w14:textId="77777777" w:rsidTr="003D1A59">
        <w:tc>
          <w:tcPr>
            <w:tcW w:w="2405" w:type="dxa"/>
          </w:tcPr>
          <w:p w14:paraId="56C0736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018DF23"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1D6416D1" w14:textId="77777777" w:rsidR="00317816" w:rsidRPr="00C24D02" w:rsidRDefault="00317816" w:rsidP="00317816">
      <w:pPr>
        <w:spacing w:after="144" w:line="360" w:lineRule="auto"/>
        <w:rPr>
          <w:rFonts w:asciiTheme="minorHAnsi" w:hAnsiTheme="minorHAnsi" w:cstheme="minorHAnsi"/>
        </w:rPr>
      </w:pPr>
    </w:p>
    <w:p w14:paraId="23CC1CBB"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 xml:space="preserve">Námitka: Významný výsledek </w:t>
      </w:r>
    </w:p>
    <w:p w14:paraId="6876EC6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55712C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Domníváme se, že toto hodnocení neodpovídá významu ani kvalitě předloženého výsledku. V našem oboru si lze jen obtížně představit výstup který by lépe naplňoval kritéria stanovená pro excelentní výsledek v modulu 1. </w:t>
      </w:r>
    </w:p>
    <w:p w14:paraId="6878A92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Jedná se o první monografii na globální úrovni, která se komplexně a interdisciplinárně věnuje dosud opomíjené problematice restaurování sádrových odlitků, respektive uměleckých děl ze sádry. Publikace vznikla na základě původního výzkumu v rámci grantu MK ČR NAKI II a je výsledkem sedmileté systematické práce s účastí specialistů v oboru restaurování, humanitních i materiálových věd. Přináší zásadní nové poznatky a poskytuje ucelený pohled na danou problematiku po velmi náročném a kritickém pirevu procesů ze strany vydavatele byla publikace vydána v prestižním britském nakladatelství…… </w:t>
      </w:r>
    </w:p>
    <w:p w14:paraId="77FDE18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Námitka spočívá ve vymezení se vůči známce 3 jako „průměrnému hodnocení“ předkládané publikace.</w:t>
      </w:r>
    </w:p>
    <w:p w14:paraId="61C115B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Posudky hodnotitelů i panelisty byly vypracovány v souladu s platnou metodikou M17+. Jsou vypracovány dostatečně detailně, ve standardním rozsahu a ve vztahu k platné škále hodnocení z hlediska přínosu k poznání. Výsledná známka 3 není v rozporu s hodnotící škálou a vychází z obou hodnotících posudků, jež docházejí k podobným závěrům, a neliší se ve výsledném hodnocení o více než jeden stupeň. </w:t>
      </w:r>
    </w:p>
    <w:p w14:paraId="476BC18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Oba výchozí posudky hodnotitelů shodně konstatují mezinárodní přínos publikace, a zároveň uvádějí, že je metodologicky srovnatelná se zahraničním výzkumem, a přínosná komplexitou a interdisciplinaritou zpracovávaného tématu, které je takto celistvě v rámci ČR zpracováno vůbec poprvé. Výtky hodnotitelů potažmo panelisty se vztahují k úrovni vědeckého zpracování jednotlivých kapitol/témat kolektivní monografie, primárně schází podrobnější vědecká argumentace, či detailnější metodologická explikace vedoucí k dosaženému konstatování, rovněž úvodní přehledové kapitoly jsou velmi stručné a působí dojmem kompilátů, schází metodologický a teoretický úvod. S tím souvisí i editorské vedení publikace, jež tento nedostatek nedokázalo dostatečně uchopit. </w:t>
      </w:r>
    </w:p>
    <w:p w14:paraId="0BEB8DD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Námitka vychází z nepochopení metodiky M17+. Známka 3 není definována jako „průměrná“, ale představuje velmi dobrý, mezinárodně srovnatelný a uznatelný výsledek. Tedy přínos k poznání, který je srovnatelný a obhajitelný v mezinárodním kontextu, což je jednoznačně pozitivní hodnocení. Pokud by měl předkládaný výstup být hodnocen známkou 2 tedy dosáhnout „vynikající mezinárodní úrovně“, publikace by měla přinést inovativní a pečlivě popsanou metodologii, teoretická východiska a zcela nové poznatky (samotný fakt, že je výsledek jediným, jenž zpracovává dané téma, nevypovídá a jeho vědecké kvalitě). Podobně impakt, tedy vědecký dopad výsledků typu B či C není sciometricky ověřitelný, i když publikování výsledku zahraničním vydavatelstvím je jistě vítaným aspektem (opět samo o sobě není důvodem pro hodnocení známkou 2, podobně jako uváděná „prestiž“ samotného nakladatelství), již jen z hlediska mezinárodní distribuce výsledku. Zároveň se panel domnívá, že hodnocená publikace je skutečně kvalitním mezinárodním počinem v oblasti restaurování a péče o kulturní dědictví, a že i ve vztahu k dalším předkládaným výsledkům z této oblasti je výsledné hodnocení adekvátní. Panel zůstává u svého původního hodnocení známkou 3.</w:t>
      </w:r>
    </w:p>
    <w:p w14:paraId="66AE37DE"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3.</w:t>
      </w:r>
    </w:p>
    <w:p w14:paraId="44A21EA8"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1429637A" w14:textId="527C574B" w:rsidR="00317816" w:rsidRPr="003C778F"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stupněm 3, které bylo uděleno podle stávajících pravidel hodnocení. KHV konstatuje, že hodnocení odpovídá Metodice 2017+ a hodnotící škále. Argumenty hodnotitelů i panelisty garanta jsou přesvědčivé.</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05AB6247" w14:textId="77777777" w:rsidTr="003D1A59">
        <w:tc>
          <w:tcPr>
            <w:tcW w:w="2405" w:type="dxa"/>
          </w:tcPr>
          <w:p w14:paraId="12DA010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066753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UPOL - Pedagogická fakulta</w:t>
            </w:r>
          </w:p>
        </w:tc>
      </w:tr>
      <w:tr w:rsidR="00317816" w:rsidRPr="00C24D02" w14:paraId="6DFD3416" w14:textId="77777777" w:rsidTr="003D1A59">
        <w:tc>
          <w:tcPr>
            <w:tcW w:w="2405" w:type="dxa"/>
          </w:tcPr>
          <w:p w14:paraId="1AE5E01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FD3735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192405372</w:t>
            </w:r>
          </w:p>
        </w:tc>
      </w:tr>
      <w:tr w:rsidR="00317816" w:rsidRPr="00C24D02" w14:paraId="5FDA042D" w14:textId="77777777" w:rsidTr="003D1A59">
        <w:trPr>
          <w:trHeight w:val="741"/>
        </w:trPr>
        <w:tc>
          <w:tcPr>
            <w:tcW w:w="2405" w:type="dxa"/>
          </w:tcPr>
          <w:p w14:paraId="25C41B8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F60639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IN TIME. Kognitivní a afektivní dimenze mladých dospělých ve vztahu k těhotenství a rodičovství.</w:t>
            </w:r>
          </w:p>
        </w:tc>
      </w:tr>
      <w:tr w:rsidR="00317816" w:rsidRPr="00C24D02" w14:paraId="304AD445" w14:textId="77777777" w:rsidTr="003D1A59">
        <w:tc>
          <w:tcPr>
            <w:tcW w:w="2405" w:type="dxa"/>
          </w:tcPr>
          <w:p w14:paraId="49DF2EA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20DA39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5.4.</w:t>
            </w:r>
          </w:p>
        </w:tc>
      </w:tr>
      <w:tr w:rsidR="00317816" w:rsidRPr="00C24D02" w14:paraId="1E2DB668" w14:textId="77777777" w:rsidTr="003D1A59">
        <w:tc>
          <w:tcPr>
            <w:tcW w:w="2405" w:type="dxa"/>
          </w:tcPr>
          <w:p w14:paraId="41BE15C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34578FA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6936D99C" w14:textId="77777777" w:rsidTr="003D1A59">
        <w:tc>
          <w:tcPr>
            <w:tcW w:w="2405" w:type="dxa"/>
          </w:tcPr>
          <w:p w14:paraId="5ABB7FF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63"/>
            </w:r>
            <w:r w:rsidRPr="00C24D02">
              <w:rPr>
                <w:rFonts w:asciiTheme="minorHAnsi" w:eastAsia="Calibri" w:hAnsiTheme="minorHAnsi" w:cstheme="minorHAnsi"/>
              </w:rPr>
              <w:t>)</w:t>
            </w:r>
          </w:p>
        </w:tc>
        <w:tc>
          <w:tcPr>
            <w:tcW w:w="6378" w:type="dxa"/>
          </w:tcPr>
          <w:p w14:paraId="6629B5F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5/3/4/4</w:t>
            </w:r>
          </w:p>
        </w:tc>
      </w:tr>
      <w:tr w:rsidR="00317816" w:rsidRPr="00C24D02" w14:paraId="415D444F" w14:textId="77777777" w:rsidTr="003D1A59">
        <w:tc>
          <w:tcPr>
            <w:tcW w:w="2405" w:type="dxa"/>
          </w:tcPr>
          <w:p w14:paraId="784732C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E74C959"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32125089" w14:textId="77777777" w:rsidR="00317816" w:rsidRPr="00C24D02" w:rsidRDefault="00317816" w:rsidP="00317816">
      <w:pPr>
        <w:spacing w:after="144" w:line="360" w:lineRule="auto"/>
        <w:rPr>
          <w:rFonts w:asciiTheme="minorHAnsi" w:hAnsiTheme="minorHAnsi" w:cstheme="minorHAnsi"/>
        </w:rPr>
      </w:pPr>
    </w:p>
    <w:p w14:paraId="03A85657"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Prokazatelný společenský dopad</w:t>
      </w:r>
    </w:p>
    <w:p w14:paraId="6C04EE6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43B5C2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Nesouhlasíme s tvrzením, že publikace „selhává v komunikaci k cílovým skupinám“ a že jde o „průměrný výsledek s dílčím dopadem“. Doložené </w:t>
      </w:r>
      <w:r w:rsidRPr="00C24D02">
        <w:rPr>
          <w:rFonts w:asciiTheme="minorHAnsi" w:hAnsiTheme="minorHAnsi" w:cstheme="minorHAnsi"/>
          <w:b/>
          <w:bCs/>
        </w:rPr>
        <w:t xml:space="preserve">policy uptake </w:t>
      </w:r>
      <w:r w:rsidRPr="00C24D02">
        <w:rPr>
          <w:rFonts w:asciiTheme="minorHAnsi" w:hAnsiTheme="minorHAnsi" w:cstheme="minorHAnsi"/>
        </w:rPr>
        <w:t xml:space="preserve">a </w:t>
      </w:r>
      <w:r w:rsidRPr="00C24D02">
        <w:rPr>
          <w:rFonts w:asciiTheme="minorHAnsi" w:hAnsiTheme="minorHAnsi" w:cstheme="minorHAnsi"/>
          <w:b/>
          <w:bCs/>
        </w:rPr>
        <w:t xml:space="preserve">odborné recenze </w:t>
      </w:r>
      <w:r w:rsidRPr="00C24D02">
        <w:rPr>
          <w:rFonts w:asciiTheme="minorHAnsi" w:hAnsiTheme="minorHAnsi" w:cstheme="minorHAnsi"/>
        </w:rPr>
        <w:t xml:space="preserve">svědčí o opaku. Navrhujeme přehodnocení na </w:t>
      </w:r>
      <w:r w:rsidRPr="00C24D02">
        <w:rPr>
          <w:rFonts w:asciiTheme="minorHAnsi" w:hAnsiTheme="minorHAnsi" w:cstheme="minorHAnsi"/>
          <w:b/>
          <w:bCs/>
        </w:rPr>
        <w:t xml:space="preserve">stupeň 3 </w:t>
      </w:r>
      <w:r w:rsidRPr="00C24D02">
        <w:rPr>
          <w:rFonts w:asciiTheme="minorHAnsi" w:hAnsiTheme="minorHAnsi" w:cstheme="minorHAnsi"/>
        </w:rPr>
        <w:t xml:space="preserve">(společenská relevance s reálným dopadem). </w:t>
      </w:r>
    </w:p>
    <w:p w14:paraId="444B49E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Zdůvodnění </w:t>
      </w:r>
    </w:p>
    <w:p w14:paraId="175F789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w:t>
      </w:r>
      <w:r w:rsidRPr="00C24D02">
        <w:rPr>
          <w:rFonts w:asciiTheme="minorHAnsi" w:hAnsiTheme="minorHAnsi" w:cstheme="minorHAnsi"/>
          <w:b/>
          <w:bCs/>
        </w:rPr>
        <w:t xml:space="preserve">Prokazatelný dopad do veřejných politik a kurikula: </w:t>
      </w:r>
      <w:r w:rsidRPr="00C24D02">
        <w:rPr>
          <w:rFonts w:asciiTheme="minorHAnsi" w:hAnsiTheme="minorHAnsi" w:cstheme="minorHAnsi"/>
        </w:rPr>
        <w:t xml:space="preserve">Výstupy a závěry si </w:t>
      </w:r>
      <w:r w:rsidRPr="00C24D02">
        <w:rPr>
          <w:rFonts w:asciiTheme="minorHAnsi" w:hAnsiTheme="minorHAnsi" w:cstheme="minorHAnsi"/>
          <w:b/>
          <w:bCs/>
        </w:rPr>
        <w:t xml:space="preserve">vyžádali tvůrci kurikulární politiky (MŠMT, NPI ČR) </w:t>
      </w:r>
      <w:r w:rsidRPr="00C24D02">
        <w:rPr>
          <w:rFonts w:asciiTheme="minorHAnsi" w:hAnsiTheme="minorHAnsi" w:cstheme="minorHAnsi"/>
        </w:rPr>
        <w:t xml:space="preserve">v rámci velké revize RVP ZV (2025) pro oblast </w:t>
      </w:r>
      <w:r w:rsidRPr="00C24D02">
        <w:rPr>
          <w:rFonts w:asciiTheme="minorHAnsi" w:hAnsiTheme="minorHAnsi" w:cstheme="minorHAnsi"/>
          <w:b/>
          <w:bCs/>
        </w:rPr>
        <w:t>Člověk, zdraví a bezpečí</w:t>
      </w:r>
      <w:r w:rsidRPr="00C24D02">
        <w:rPr>
          <w:rFonts w:asciiTheme="minorHAnsi" w:hAnsiTheme="minorHAnsi" w:cstheme="minorHAnsi"/>
        </w:rPr>
        <w:t xml:space="preserve">, včetně začlenění témat </w:t>
      </w:r>
      <w:r w:rsidRPr="00C24D02">
        <w:rPr>
          <w:rFonts w:asciiTheme="minorHAnsi" w:hAnsiTheme="minorHAnsi" w:cstheme="minorHAnsi"/>
          <w:b/>
          <w:bCs/>
        </w:rPr>
        <w:t xml:space="preserve">předčasného a odkládaného rodičovství </w:t>
      </w:r>
      <w:r w:rsidRPr="00C24D02">
        <w:rPr>
          <w:rFonts w:asciiTheme="minorHAnsi" w:hAnsiTheme="minorHAnsi" w:cstheme="minorHAnsi"/>
        </w:rPr>
        <w:t xml:space="preserve">do očekávaných výstupů učení. Jde o </w:t>
      </w:r>
      <w:r w:rsidRPr="00C24D02">
        <w:rPr>
          <w:rFonts w:asciiTheme="minorHAnsi" w:hAnsiTheme="minorHAnsi" w:cstheme="minorHAnsi"/>
          <w:b/>
          <w:bCs/>
        </w:rPr>
        <w:t>přímý dopad do systému vzdělávání</w:t>
      </w:r>
      <w:r w:rsidRPr="00C24D02">
        <w:rPr>
          <w:rFonts w:asciiTheme="minorHAnsi" w:hAnsiTheme="minorHAnsi" w:cstheme="minorHAnsi"/>
        </w:rPr>
        <w:t xml:space="preserve">. </w:t>
      </w:r>
    </w:p>
    <w:p w14:paraId="44A2FA5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w:t>
      </w:r>
      <w:r w:rsidRPr="00C24D02">
        <w:rPr>
          <w:rFonts w:asciiTheme="minorHAnsi" w:hAnsiTheme="minorHAnsi" w:cstheme="minorHAnsi"/>
          <w:b/>
          <w:bCs/>
        </w:rPr>
        <w:t xml:space="preserve">Užití mimo akademii: </w:t>
      </w:r>
      <w:r w:rsidRPr="00C24D02">
        <w:rPr>
          <w:rFonts w:asciiTheme="minorHAnsi" w:hAnsiTheme="minorHAnsi" w:cstheme="minorHAnsi"/>
        </w:rPr>
        <w:t xml:space="preserve">O výstupy projevilo zájem </w:t>
      </w:r>
      <w:r w:rsidRPr="00C24D02">
        <w:rPr>
          <w:rFonts w:asciiTheme="minorHAnsi" w:hAnsiTheme="minorHAnsi" w:cstheme="minorHAnsi"/>
          <w:b/>
          <w:bCs/>
        </w:rPr>
        <w:t xml:space="preserve">Národní centrum pro rodinu </w:t>
      </w:r>
      <w:r w:rsidRPr="00C24D02">
        <w:rPr>
          <w:rFonts w:asciiTheme="minorHAnsi" w:hAnsiTheme="minorHAnsi" w:cstheme="minorHAnsi"/>
        </w:rPr>
        <w:t xml:space="preserve">(odborná konference pod záštitou Senátu ČR a Hans Seidel Stiftung) a probíhá další spolupráce; publikace je využívána </w:t>
      </w:r>
      <w:r w:rsidRPr="00C24D02">
        <w:rPr>
          <w:rFonts w:asciiTheme="minorHAnsi" w:hAnsiTheme="minorHAnsi" w:cstheme="minorHAnsi"/>
          <w:b/>
          <w:bCs/>
        </w:rPr>
        <w:t>ve vysokoškolské přípravě učitelů i zdravotníků</w:t>
      </w:r>
      <w:r w:rsidRPr="00C24D02">
        <w:rPr>
          <w:rFonts w:asciiTheme="minorHAnsi" w:hAnsiTheme="minorHAnsi" w:cstheme="minorHAnsi"/>
        </w:rPr>
        <w:t xml:space="preserve">. </w:t>
      </w:r>
    </w:p>
    <w:p w14:paraId="3B6BF876"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w:t>
      </w:r>
      <w:r w:rsidRPr="00C24D02">
        <w:rPr>
          <w:rFonts w:asciiTheme="minorHAnsi" w:hAnsiTheme="minorHAnsi" w:cstheme="minorHAnsi"/>
          <w:b/>
          <w:bCs/>
        </w:rPr>
        <w:t xml:space="preserve">Přenos do standardů profesní přípravy: </w:t>
      </w:r>
      <w:r w:rsidRPr="00C24D02">
        <w:rPr>
          <w:rFonts w:asciiTheme="minorHAnsi" w:hAnsiTheme="minorHAnsi" w:cstheme="minorHAnsi"/>
        </w:rPr>
        <w:t xml:space="preserve">Závěry se propsaly do </w:t>
      </w:r>
      <w:r w:rsidRPr="00C24D02">
        <w:rPr>
          <w:rFonts w:asciiTheme="minorHAnsi" w:hAnsiTheme="minorHAnsi" w:cstheme="minorHAnsi"/>
          <w:b/>
          <w:bCs/>
        </w:rPr>
        <w:t xml:space="preserve">Odborného specifického kompetenčního rámce </w:t>
      </w:r>
      <w:r w:rsidRPr="00C24D02">
        <w:rPr>
          <w:rFonts w:asciiTheme="minorHAnsi" w:hAnsiTheme="minorHAnsi" w:cstheme="minorHAnsi"/>
        </w:rPr>
        <w:t xml:space="preserve">pro absolventy učitelství Výchovy ke zdraví (po schválení MŠMT závazný pro fakulty). </w:t>
      </w:r>
    </w:p>
    <w:p w14:paraId="38279A9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w:t>
      </w:r>
      <w:r w:rsidRPr="00C24D02">
        <w:rPr>
          <w:rFonts w:asciiTheme="minorHAnsi" w:hAnsiTheme="minorHAnsi" w:cstheme="minorHAnsi"/>
          <w:b/>
          <w:bCs/>
        </w:rPr>
        <w:t xml:space="preserve">Odborné recenze (kvalita a originalita): </w:t>
      </w:r>
      <w:r w:rsidRPr="00C24D02">
        <w:rPr>
          <w:rFonts w:asciiTheme="minorHAnsi" w:hAnsiTheme="minorHAnsi" w:cstheme="minorHAnsi"/>
        </w:rPr>
        <w:t xml:space="preserve">– </w:t>
      </w:r>
      <w:r w:rsidRPr="00C24D02">
        <w:rPr>
          <w:rFonts w:asciiTheme="minorHAnsi" w:hAnsiTheme="minorHAnsi" w:cstheme="minorHAnsi"/>
          <w:b/>
          <w:bCs/>
        </w:rPr>
        <w:t xml:space="preserve">doc. L. Hamplová: </w:t>
      </w:r>
      <w:r w:rsidRPr="00C24D02">
        <w:rPr>
          <w:rFonts w:asciiTheme="minorHAnsi" w:hAnsiTheme="minorHAnsi" w:cstheme="minorHAnsi"/>
        </w:rPr>
        <w:t xml:space="preserve">vysoce odborné, originální a společensky potřebné dílo, </w:t>
      </w:r>
      <w:r w:rsidRPr="00C24D02">
        <w:rPr>
          <w:rFonts w:asciiTheme="minorHAnsi" w:hAnsiTheme="minorHAnsi" w:cstheme="minorHAnsi"/>
          <w:b/>
          <w:bCs/>
        </w:rPr>
        <w:t>kompatibilní s kurikulární reformou</w:t>
      </w:r>
      <w:r w:rsidRPr="00C24D02">
        <w:rPr>
          <w:rFonts w:asciiTheme="minorHAnsi" w:hAnsiTheme="minorHAnsi" w:cstheme="minorHAnsi"/>
        </w:rPr>
        <w:t xml:space="preserve">; přináší </w:t>
      </w:r>
      <w:r w:rsidRPr="00C24D02">
        <w:rPr>
          <w:rFonts w:asciiTheme="minorHAnsi" w:hAnsiTheme="minorHAnsi" w:cstheme="minorHAnsi"/>
          <w:b/>
          <w:bCs/>
        </w:rPr>
        <w:t xml:space="preserve">jedinečné propojení oborů </w:t>
      </w:r>
      <w:r w:rsidRPr="00C24D02">
        <w:rPr>
          <w:rFonts w:asciiTheme="minorHAnsi" w:hAnsiTheme="minorHAnsi" w:cstheme="minorHAnsi"/>
        </w:rPr>
        <w:t xml:space="preserve">a poskytuje </w:t>
      </w:r>
      <w:r w:rsidRPr="00C24D02">
        <w:rPr>
          <w:rFonts w:asciiTheme="minorHAnsi" w:hAnsiTheme="minorHAnsi" w:cstheme="minorHAnsi"/>
          <w:b/>
          <w:bCs/>
        </w:rPr>
        <w:t>východiska pro praxi i výzkum</w:t>
      </w:r>
      <w:r w:rsidRPr="00C24D02">
        <w:rPr>
          <w:rFonts w:asciiTheme="minorHAnsi" w:hAnsiTheme="minorHAnsi" w:cstheme="minorHAnsi"/>
        </w:rPr>
        <w:t xml:space="preserve">. – </w:t>
      </w:r>
      <w:r w:rsidRPr="00C24D02">
        <w:rPr>
          <w:rFonts w:asciiTheme="minorHAnsi" w:hAnsiTheme="minorHAnsi" w:cstheme="minorHAnsi"/>
          <w:b/>
          <w:bCs/>
        </w:rPr>
        <w:t xml:space="preserve">prof. R. Pilka: </w:t>
      </w:r>
      <w:r w:rsidRPr="00C24D02">
        <w:rPr>
          <w:rFonts w:asciiTheme="minorHAnsi" w:hAnsiTheme="minorHAnsi" w:cstheme="minorHAnsi"/>
        </w:rPr>
        <w:t xml:space="preserve">publikace </w:t>
      </w:r>
      <w:r w:rsidRPr="00C24D02">
        <w:rPr>
          <w:rFonts w:asciiTheme="minorHAnsi" w:hAnsiTheme="minorHAnsi" w:cstheme="minorHAnsi"/>
          <w:b/>
          <w:bCs/>
        </w:rPr>
        <w:t xml:space="preserve">splňuje a v řadě aspektů přesahuje standard </w:t>
      </w:r>
      <w:r w:rsidRPr="00C24D02">
        <w:rPr>
          <w:rFonts w:asciiTheme="minorHAnsi" w:hAnsiTheme="minorHAnsi" w:cstheme="minorHAnsi"/>
        </w:rPr>
        <w:t xml:space="preserve">pro odborné monografie; </w:t>
      </w:r>
      <w:r w:rsidRPr="00C24D02">
        <w:rPr>
          <w:rFonts w:asciiTheme="minorHAnsi" w:hAnsiTheme="minorHAnsi" w:cstheme="minorHAnsi"/>
          <w:b/>
          <w:bCs/>
        </w:rPr>
        <w:t xml:space="preserve">využitelnost napříč resorty </w:t>
      </w:r>
      <w:r w:rsidRPr="00C24D02">
        <w:rPr>
          <w:rFonts w:asciiTheme="minorHAnsi" w:hAnsiTheme="minorHAnsi" w:cstheme="minorHAnsi"/>
        </w:rPr>
        <w:t xml:space="preserve">a </w:t>
      </w:r>
      <w:r w:rsidRPr="00C24D02">
        <w:rPr>
          <w:rFonts w:asciiTheme="minorHAnsi" w:hAnsiTheme="minorHAnsi" w:cstheme="minorHAnsi"/>
          <w:b/>
          <w:bCs/>
        </w:rPr>
        <w:t>relevance pro veřejné politiky</w:t>
      </w:r>
      <w:r w:rsidRPr="00C24D02">
        <w:rPr>
          <w:rFonts w:asciiTheme="minorHAnsi" w:hAnsiTheme="minorHAnsi" w:cstheme="minorHAnsi"/>
        </w:rPr>
        <w:t xml:space="preserve">. </w:t>
      </w:r>
    </w:p>
    <w:p w14:paraId="62615C0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lastRenderedPageBreak/>
        <w:t xml:space="preserve">Závěr </w:t>
      </w:r>
    </w:p>
    <w:p w14:paraId="4C1470F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Publikace má </w:t>
      </w:r>
      <w:r w:rsidRPr="00C24D02">
        <w:rPr>
          <w:rFonts w:asciiTheme="minorHAnsi" w:hAnsiTheme="minorHAnsi" w:cstheme="minorHAnsi"/>
          <w:b/>
          <w:bCs/>
        </w:rPr>
        <w:t xml:space="preserve">prokazatelný společenský dopad </w:t>
      </w:r>
      <w:r w:rsidRPr="00C24D02">
        <w:rPr>
          <w:rFonts w:asciiTheme="minorHAnsi" w:hAnsiTheme="minorHAnsi" w:cstheme="minorHAnsi"/>
        </w:rPr>
        <w:t>(kurikulární reforma, profesní standardy, odborná praxe). Hodnocení 4 neodpovídá předloženým důkazům. Žádáme o přehodnocení známky na stupeň 3.</w:t>
      </w:r>
    </w:p>
    <w:p w14:paraId="473E168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Hodnocená knižní publikace byla na žádost prof. Kláry Šedové, která je garantkou modulu 1 pro obor 5.3 Education, přesunuta k hodnocení v oboru 5.4 Sociology. Důvodem přesunutí bylo zjištění, že obsah publikace vychází z dotazníkového šetření, a má tedy blíže k sociologii a antropologii než k jiným oborům, jichž se dotýká.</w:t>
      </w:r>
    </w:p>
    <w:p w14:paraId="33F2593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Publikace není jednoznačně oborově zařaditelná, pohybuje se na pomezí pedagogiky, medicíny a sociologie, tj. svým záběrem zasahuje do dvou oborů v panelu 5. Social Sciences, ale i do panelu 3. Medical and Health Sciences. Autorský kolektiv bohužel vysvětlení interdisciplinárního charakteru publikace nevěnuje patřičnou pozornost. Tím na straně čtenářů vzniká zmatek ohledně toho, k jakému oboru a jak přesně vlastně publikace přispívá. To samo o sobě je nedostatek a komplikuje to proces hodnocení. U interdisciplinárně koncipované publikace by autorský kolektiv měl předjímat možné nejasnosti a relativně komplikovanější interdisciplinární přístup jasně zdůvodnit a vysvětlit.</w:t>
      </w:r>
    </w:p>
    <w:p w14:paraId="73553A3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Publikaci hodnotili tři velmi zkušení odborníci /odbornice se zaměřením na dané téma v oboru sociologie medicíny (dvě hodnocení) a pedagogiky (jedno hodnocení). Všechna hodnocení vyzvedla důležitost tématu, ale byly také vzneseny zásadní výtky k odborné kvalitě výsledku. Z hlediska sociologické komponenty byla publikace hodnocena jako relativně velmi slabá (zastaralá literatura, slabé teoretické ukotvení, zavádějící formulace, nedostatečný výklad metodologie, pouze popisná analýza dat, slabá souvislost mezi dvěma částmi publikace). Jde o jednu ze dvou letošních publikací v panelu 5. Social Sciences, která jednou obdržela nejhorší známku 5. </w:t>
      </w:r>
    </w:p>
    <w:p w14:paraId="27A83D4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Posudek udělující známku 3 poukazuje na přínos publikace k řešení celospolečenské výzvy pozdního / odkládaného těhotenství. Ve shodě s tím předkladatel výsledku ve své námitce argumentuje, že výsledek měl společenské dopady. Nicméně přímý dopad nebyl doložen přiložením žádného dokumentu, který by jej oficiálně nebo jinak věrohodně potvrzoval nebo ilustroval, jak tomu u výsledků aplikovaného výzkumu často bývá a usnadňuje to hodnotitelům nahlédnout působení publikace v dané oblasti expertízy. Jak upozorňuje posudek udělující </w:t>
      </w:r>
      <w:r w:rsidRPr="00C24D02">
        <w:rPr>
          <w:rFonts w:asciiTheme="minorHAnsi" w:hAnsiTheme="minorHAnsi" w:cstheme="minorHAnsi"/>
        </w:rPr>
        <w:lastRenderedPageBreak/>
        <w:t>známku 4, v samotné publikaci navíc chybí návodný text, který by oslovoval možné uživatele výsledku a popisoval způsoby aplikace dosažených zjištění v praxi. I když se v oblasti politik a kurikula uskutečnily změny, které konvenují se zaměřením publikace, přímá vazba mezi publikací a společenskými dopady z publikace samotné a z poskytnutých materiálu není zřejmá natolik, aby – rovněž vhledem k relativně nízko hodnocené odborné kvalitě výsledku – mohla být udělena známka 3.</w:t>
      </w:r>
    </w:p>
    <w:p w14:paraId="7C42D3A1"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2ABDD2B5"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45C79184" w14:textId="072DA906"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vyjádřením Odborného panelu námitce nevyhovět a ponecháním původního hodnocení. Doporučuje, aby předkládající organizaci věnovala větší pozornost odůvodnění významu a popisu nominovaných výsledků, které je zvláště důležité pro výsledky multidisciplinární povahy a výstupy oborově hraniční.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8FBE9DB" w14:textId="77777777" w:rsidTr="003D1A59">
        <w:tc>
          <w:tcPr>
            <w:tcW w:w="2405" w:type="dxa"/>
          </w:tcPr>
          <w:p w14:paraId="14264BA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C30D8D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fotoniky a elektroniky AV ČR</w:t>
            </w:r>
          </w:p>
        </w:tc>
      </w:tr>
      <w:tr w:rsidR="00317816" w:rsidRPr="00C24D02" w14:paraId="5EE300DE" w14:textId="77777777" w:rsidTr="003D1A59">
        <w:tc>
          <w:tcPr>
            <w:tcW w:w="2405" w:type="dxa"/>
          </w:tcPr>
          <w:p w14:paraId="1347350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DCAF9E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192347274</w:t>
            </w:r>
          </w:p>
        </w:tc>
      </w:tr>
      <w:tr w:rsidR="00317816" w:rsidRPr="00C24D02" w14:paraId="66F2E695" w14:textId="77777777" w:rsidTr="003D1A59">
        <w:trPr>
          <w:trHeight w:val="741"/>
        </w:trPr>
        <w:tc>
          <w:tcPr>
            <w:tcW w:w="2405" w:type="dxa"/>
          </w:tcPr>
          <w:p w14:paraId="45A5239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B52EA4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Detecting attomolar concentrations of microRNA related to myelodysplastic syndromes in blood plasma using a novel sandwich assay with nanoparticle release</w:t>
            </w:r>
          </w:p>
        </w:tc>
      </w:tr>
      <w:tr w:rsidR="00317816" w:rsidRPr="00C24D02" w14:paraId="39032A42" w14:textId="77777777" w:rsidTr="003D1A59">
        <w:tc>
          <w:tcPr>
            <w:tcW w:w="2405" w:type="dxa"/>
          </w:tcPr>
          <w:p w14:paraId="0F84C9E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44292B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w:t>
            </w:r>
          </w:p>
        </w:tc>
      </w:tr>
      <w:tr w:rsidR="00317816" w:rsidRPr="00C24D02" w14:paraId="786B2015" w14:textId="77777777" w:rsidTr="003D1A59">
        <w:tc>
          <w:tcPr>
            <w:tcW w:w="2405" w:type="dxa"/>
          </w:tcPr>
          <w:p w14:paraId="4978ED3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3F31E6A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0C3B74B3" w14:textId="77777777" w:rsidTr="003D1A59">
        <w:tc>
          <w:tcPr>
            <w:tcW w:w="2405" w:type="dxa"/>
          </w:tcPr>
          <w:p w14:paraId="40BAD06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64"/>
            </w:r>
            <w:r w:rsidRPr="00C24D02">
              <w:rPr>
                <w:rFonts w:asciiTheme="minorHAnsi" w:eastAsia="Calibri" w:hAnsiTheme="minorHAnsi" w:cstheme="minorHAnsi"/>
              </w:rPr>
              <w:t>)</w:t>
            </w:r>
          </w:p>
        </w:tc>
        <w:tc>
          <w:tcPr>
            <w:tcW w:w="6378" w:type="dxa"/>
          </w:tcPr>
          <w:p w14:paraId="59D99BD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3/3/-/3</w:t>
            </w:r>
          </w:p>
        </w:tc>
      </w:tr>
      <w:tr w:rsidR="00317816" w:rsidRPr="00C24D02" w14:paraId="5FA66101" w14:textId="77777777" w:rsidTr="003D1A59">
        <w:tc>
          <w:tcPr>
            <w:tcW w:w="2405" w:type="dxa"/>
          </w:tcPr>
          <w:p w14:paraId="5FF8AD5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621F239E"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0CE43FD4" w14:textId="77777777" w:rsidR="00317816" w:rsidRPr="00C24D02" w:rsidRDefault="00317816" w:rsidP="00317816">
      <w:pPr>
        <w:spacing w:after="144" w:line="360" w:lineRule="auto"/>
        <w:rPr>
          <w:rFonts w:asciiTheme="minorHAnsi" w:hAnsiTheme="minorHAnsi" w:cstheme="minorHAnsi"/>
        </w:rPr>
      </w:pPr>
    </w:p>
    <w:p w14:paraId="2B71610A"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lastRenderedPageBreak/>
        <w:t>Námitka: Nízká kvalita posudků</w:t>
      </w:r>
    </w:p>
    <w:p w14:paraId="37A478E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BBE04B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Domníváme se, že posudky hodnotitelů nenaplňují, ani odborně ani formálně, atributy posudků vědeckých výsledků. Jak je patrné z našich konkrétních komentářů níže, hodnoticí posudky očištěné od obecných komentářů pro hodnocení zcela irelevantních, ani zdaleka nenaplňují stanovené požadavky na délku posudku (minimálně 500 znaků) a neobsahují hodnoticí vyjádření zdůvodňující známky, které hodnotitelé výsledku přidělili. </w:t>
      </w:r>
    </w:p>
    <w:p w14:paraId="03C7A41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Konkrétní námitky k posudku #1: </w:t>
      </w:r>
    </w:p>
    <w:p w14:paraId="1CEDF3E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I když svou délkou může posudek vzbuzovat dojem odpovědně provedeného hodnocení, po jeho přečtení je zřejmé, že tomu tak není. Více než 45% textu je věnováno bibliografickým údajům a informacím o časopise, jeho vysokému impakt faktoru a postavení v různých vědních oblastech (což ovšem, jak hodnotitel správně zmiňuje, není předmětem hodnocení) a více než 40 % textu je prostým překladem a zkrácením vět obsažených v abstraktu hodnocené publikace. Zbývající velmi krátká část posudku (méně než 15% textu) obsahuje: jednu větu o počtu citací (opět bez jakéhokoliv hodnoticího vyjádření), obecné konstatování, že „</w:t>
      </w:r>
      <w:r w:rsidRPr="00C24D02">
        <w:rPr>
          <w:rFonts w:asciiTheme="minorHAnsi" w:hAnsiTheme="minorHAnsi" w:cstheme="minorHAnsi"/>
          <w:i/>
          <w:iCs/>
        </w:rPr>
        <w:t xml:space="preserve">došlo posunutí hranice poznání a článek zároveň má zřejmý aplikační přesah do budoucnosti“ </w:t>
      </w:r>
      <w:r w:rsidRPr="00C24D02">
        <w:rPr>
          <w:rFonts w:asciiTheme="minorHAnsi" w:hAnsiTheme="minorHAnsi" w:cstheme="minorHAnsi"/>
        </w:rPr>
        <w:t xml:space="preserve">a závěrečnou formulaci </w:t>
      </w:r>
      <w:r w:rsidRPr="00C24D02">
        <w:rPr>
          <w:rFonts w:asciiTheme="minorHAnsi" w:hAnsiTheme="minorHAnsi" w:cstheme="minorHAnsi"/>
          <w:i/>
          <w:iCs/>
        </w:rPr>
        <w:t>„výslednou známku (3) navrhuji s přihlédnutím k výše uvedeným faktům</w:t>
      </w:r>
      <w:r w:rsidRPr="00C24D02">
        <w:rPr>
          <w:rFonts w:asciiTheme="minorHAnsi" w:hAnsiTheme="minorHAnsi" w:cstheme="minorHAnsi"/>
        </w:rPr>
        <w:t>”. Z posudku je zřejmé, že hodnotitel se nezabýval kvalitou, originalitou a významnosti výsledku ve srovnání s mezinárodní úrovní, což je hlavním principem hodnocení (viz dokument Metodika hodnocení výzkumných organizací a hodnocení programů účelové podpory výzkumu, vývoje a inovací, dále Metodika). Naopak není zřejmé, jaká z hlediska hodnocení relevantní fakta má hodnotitel na mysli, když říká „</w:t>
      </w:r>
      <w:r w:rsidRPr="00C24D02">
        <w:rPr>
          <w:rFonts w:asciiTheme="minorHAnsi" w:hAnsiTheme="minorHAnsi" w:cstheme="minorHAnsi"/>
          <w:i/>
          <w:iCs/>
        </w:rPr>
        <w:t xml:space="preserve">s přihlédnutím k výše uvedeným faktům“ </w:t>
      </w:r>
      <w:r w:rsidRPr="00C24D02">
        <w:rPr>
          <w:rFonts w:asciiTheme="minorHAnsi" w:hAnsiTheme="minorHAnsi" w:cstheme="minorHAnsi"/>
        </w:rPr>
        <w:t xml:space="preserve">a jakou roli tato fakta v hodnocení sehrály. Proto jsme nuceni konstatovat, že posudek žádné skutečné hodnocení neobsahuje a že hodnotitel výsledku přiřadil výsledku známku netransparentně a bez jakéhokoliv vztahu k slovnímu „hodnocení“ výsledku, a tedy v rozporu s Metodikou. </w:t>
      </w:r>
    </w:p>
    <w:p w14:paraId="6FB187B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Konkrétní námitky k posudku #2: </w:t>
      </w:r>
    </w:p>
    <w:p w14:paraId="08B0E2F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Tento posudek je relativně stručný. Nejprve konstatuje, že výsledek je publikován v kvalitním odborném časopise s vysokým impakt faktorem, což, opět, není předmětem hodnocení a není zřejmé jaký vztah toto konstatování k hodnocení výsledku má. Totéž platí o </w:t>
      </w:r>
      <w:r w:rsidRPr="00C24D02">
        <w:rPr>
          <w:rFonts w:asciiTheme="minorHAnsi" w:hAnsiTheme="minorHAnsi" w:cstheme="minorHAnsi"/>
        </w:rPr>
        <w:lastRenderedPageBreak/>
        <w:t>vyjádření hodnotitele „</w:t>
      </w:r>
      <w:r w:rsidRPr="00C24D02">
        <w:rPr>
          <w:rFonts w:asciiTheme="minorHAnsi" w:hAnsiTheme="minorHAnsi" w:cstheme="minorHAnsi"/>
          <w:i/>
          <w:iCs/>
        </w:rPr>
        <w:t>Ocenil bych komentář, zda je tato práce dále rozvíjena ve smyslu použití dané metody na spolupracujícím pracovišti. Jaké další kroky byly učiněny směrem k praktické aplikaci. Důležitou informací by bylo i proč se dále nepokračovalo praktickým směrem atd.</w:t>
      </w:r>
      <w:r w:rsidRPr="00C24D02">
        <w:rPr>
          <w:rFonts w:asciiTheme="minorHAnsi" w:hAnsiTheme="minorHAnsi" w:cstheme="minorHAnsi"/>
        </w:rPr>
        <w:t xml:space="preserve">” Z tohoto vyjádření se jeví pravděpodobné, že předjímané „nepokračování praktickým směrem“, mělo vliv na hodnocení výsledku. Důraz hodnotitele na aplikaci a praktické využití je však zcela v rozporu s Metodikou. Předmětný výsledek byl podán k hodnocení v kategorii „Přínos k poznání“, kde se výsledky hodnotí podle jejich kvality, originality a významnosti ve srovnání s mezinárodní úrovní (viz. dokument Metodika hodnocení výzkumných organizací a hodnocení programů účelové podpory výzkumu, vývoje a inovací, kapitola 1.1 MODUL 1 – Kvalita vybraných výsledků). Naopak se zde nehodnotí společenská relevance a aplikovatelnost výzkumu. Nicméně, pokud by hodnotitel měl zájem udělat si, nad rámec hodnocení daného výsledku, názor na pokračování výzkumu a spolupráce s Ústavem hematologie a krevní transfuze, jistě by snadno nalezl práci </w:t>
      </w:r>
      <w:r w:rsidRPr="00C24D02">
        <w:rPr>
          <w:rFonts w:asciiTheme="minorHAnsi" w:hAnsiTheme="minorHAnsi" w:cstheme="minorHAnsi"/>
          <w:i/>
          <w:iCs/>
        </w:rPr>
        <w:t xml:space="preserve">Large gold nanoparticle release assay for attomolar detection of miRNA related to myelodysplastic neoplasms </w:t>
      </w:r>
      <w:r w:rsidRPr="00C24D02">
        <w:rPr>
          <w:rFonts w:asciiTheme="minorHAnsi" w:hAnsiTheme="minorHAnsi" w:cstheme="minorHAnsi"/>
        </w:rPr>
        <w:t xml:space="preserve">nedávnou společně publikovanou ve vědeckém časopise </w:t>
      </w:r>
      <w:r w:rsidRPr="00C24D02">
        <w:rPr>
          <w:rFonts w:asciiTheme="minorHAnsi" w:hAnsiTheme="minorHAnsi" w:cstheme="minorHAnsi"/>
          <w:i/>
          <w:iCs/>
        </w:rPr>
        <w:t>Talanta</w:t>
      </w:r>
      <w:r w:rsidRPr="00C24D02">
        <w:rPr>
          <w:rFonts w:asciiTheme="minorHAnsi" w:hAnsiTheme="minorHAnsi" w:cstheme="minorHAnsi"/>
        </w:rPr>
        <w:t xml:space="preserve">, která prezentovanou metodu dále rozvíjí a posouvá hranici detekčních schopností na úroveň 40 aM….. </w:t>
      </w:r>
    </w:p>
    <w:p w14:paraId="05008D2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Výzkumná organizace žádá o nové hodnocení výsledku na základě nízké kvality posudků hodnotitelů. První hodnotitel kromě obsáhlého popisu publikace stručně shrnuje dosažené výsledky a komentuje posunutí hranice poznání v rámci práce se zřejmým aplikačním přesahem do budoucnosti. Druhý oponent stručně komentuje jen dosažený nízký limit detekce. V obou případech oponenti konkrétně nepopisují nedostatky práce, resp. co by práce měla splňovat pro získání lepšího hodnocení. Přesto shodně oba oponenti hodnotí práci kladně známkou 3, tj. že se jedná o dobrý výsledek mezinárodně uznávaný. Součástí hodnocení není zmiňovaná metrika časopisu, jak zaznělo i v posudku prvního hodnotitele, ale přínos hodnocené práce k poznání. Samotné zdůvodnění výsledku ale obsahuje jen souhrn dosažených výsledků, informace o kvalitě časopisu a počet citací článku. Jeho součástí ale nejsou podpůrné informace k hodnocení výsledku typu, v jaké konkrétní práci (experimentální/review) a s jakým výsledkem (kladný/záporný) byla práce citována, aby byl zřejmý její dosah na vědeckou komunitu. Při prostém posouzení počtu citací jako podpůrného kritéria dosahuje hodnocený článek s ohledem na dobu od publikace jen průměrných výsledků </w:t>
      </w:r>
      <w:r w:rsidRPr="00C24D02">
        <w:rPr>
          <w:rFonts w:asciiTheme="minorHAnsi" w:hAnsiTheme="minorHAnsi" w:cstheme="minorHAnsi"/>
        </w:rPr>
        <w:lastRenderedPageBreak/>
        <w:t>v rámci srovnání publikací hodnocených panelem. Na základě opětovného posouzení posudků a všech dostupných informací v době hodnocení panel doporučuje setrvat na hodnocení 3.</w:t>
      </w:r>
    </w:p>
    <w:p w14:paraId="0132EB95"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zachovat původní hodnocení stupněm 3.</w:t>
      </w:r>
    </w:p>
    <w:p w14:paraId="19845646"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4B386AE9" w14:textId="7DB9F74F"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3CE7416" w14:textId="77777777" w:rsidTr="003D1A59">
        <w:tc>
          <w:tcPr>
            <w:tcW w:w="2405" w:type="dxa"/>
          </w:tcPr>
          <w:p w14:paraId="4E6A449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DD587F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fotoniky a elektroniky AV ČR</w:t>
            </w:r>
          </w:p>
        </w:tc>
      </w:tr>
      <w:tr w:rsidR="00317816" w:rsidRPr="00C24D02" w14:paraId="2C4A3002" w14:textId="77777777" w:rsidTr="003D1A59">
        <w:tc>
          <w:tcPr>
            <w:tcW w:w="2405" w:type="dxa"/>
          </w:tcPr>
          <w:p w14:paraId="024849E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A4821E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192254542</w:t>
            </w:r>
          </w:p>
        </w:tc>
      </w:tr>
      <w:tr w:rsidR="00317816" w:rsidRPr="00C24D02" w14:paraId="5B1DFA89" w14:textId="77777777" w:rsidTr="003D1A59">
        <w:trPr>
          <w:trHeight w:val="741"/>
        </w:trPr>
        <w:tc>
          <w:tcPr>
            <w:tcW w:w="2405" w:type="dxa"/>
          </w:tcPr>
          <w:p w14:paraId="35207BF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3A40984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Nanosecond Pulsed Electric Field Lab-on-Chip Integrated in Super-Resolution Microscope for Cytoskeleton Imaging</w:t>
            </w:r>
          </w:p>
        </w:tc>
      </w:tr>
      <w:tr w:rsidR="00317816" w:rsidRPr="00C24D02" w14:paraId="3CD90D75" w14:textId="77777777" w:rsidTr="003D1A59">
        <w:tc>
          <w:tcPr>
            <w:tcW w:w="2405" w:type="dxa"/>
          </w:tcPr>
          <w:p w14:paraId="28213C7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E18EA1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w:t>
            </w:r>
          </w:p>
        </w:tc>
      </w:tr>
      <w:tr w:rsidR="00317816" w:rsidRPr="00C24D02" w14:paraId="752A2375" w14:textId="77777777" w:rsidTr="003D1A59">
        <w:tc>
          <w:tcPr>
            <w:tcW w:w="2405" w:type="dxa"/>
          </w:tcPr>
          <w:p w14:paraId="6DE6159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ED67A9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41D215F5" w14:textId="77777777" w:rsidTr="003D1A59">
        <w:tc>
          <w:tcPr>
            <w:tcW w:w="2405" w:type="dxa"/>
          </w:tcPr>
          <w:p w14:paraId="6C9F449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65"/>
            </w:r>
            <w:r w:rsidRPr="00C24D02">
              <w:rPr>
                <w:rFonts w:asciiTheme="minorHAnsi" w:eastAsia="Calibri" w:hAnsiTheme="minorHAnsi" w:cstheme="minorHAnsi"/>
              </w:rPr>
              <w:t>)</w:t>
            </w:r>
          </w:p>
        </w:tc>
        <w:tc>
          <w:tcPr>
            <w:tcW w:w="6378" w:type="dxa"/>
          </w:tcPr>
          <w:p w14:paraId="3516AC0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3/3/-/3</w:t>
            </w:r>
          </w:p>
        </w:tc>
      </w:tr>
      <w:tr w:rsidR="00317816" w:rsidRPr="00C24D02" w14:paraId="06DC28B2" w14:textId="77777777" w:rsidTr="003D1A59">
        <w:tc>
          <w:tcPr>
            <w:tcW w:w="2405" w:type="dxa"/>
          </w:tcPr>
          <w:p w14:paraId="33A11F3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7363D58"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4711F254" w14:textId="77777777" w:rsidR="00317816" w:rsidRPr="00C24D02" w:rsidRDefault="00317816" w:rsidP="00317816">
      <w:pPr>
        <w:spacing w:after="144" w:line="360" w:lineRule="auto"/>
        <w:rPr>
          <w:rFonts w:asciiTheme="minorHAnsi" w:hAnsiTheme="minorHAnsi" w:cstheme="minorHAnsi"/>
        </w:rPr>
      </w:pPr>
    </w:p>
    <w:p w14:paraId="168A6D2A"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Nízká kvalita posudků</w:t>
      </w:r>
    </w:p>
    <w:p w14:paraId="578AA64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7D197FE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V rámci národního systému hodnocení byl v Modulu 1 (M1) posuzován výsledek publikovaný v roce 2020 v článku Nanosecond Pulsed Electric Field Lab-on-Chip Integrated in Super-Resolution Microscope for Cytoskeleton Imaging v časopise Advanced Materials Technologies. Hodnocení tohoto výsledku vychází ze dvou posudků hodnotitelů. Domníváme se, že ani jeden z nich nenaplňuje formální ani odborné požadavky kladené Metodikou hodnocení </w:t>
      </w:r>
      <w:r w:rsidRPr="00C24D02">
        <w:rPr>
          <w:rFonts w:asciiTheme="minorHAnsi" w:hAnsiTheme="minorHAnsi" w:cstheme="minorHAnsi"/>
        </w:rPr>
        <w:lastRenderedPageBreak/>
        <w:t>výzkumných organizací a programů účelové podpory výzkumu, vývoje a inovací (dále jen „Metodika M17+“) na posuzování výsledků v rámci kritéria Přínos k poznání.</w:t>
      </w:r>
    </w:p>
    <w:p w14:paraId="564BBA4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Z analýzy obou posudků vyplývá, že hodnotitelé se ve značné míře soustředili na aspekty, které nejsou v M1 relevantní (bibliometrické ukazatele, počet citací, časopis, časové souvislosti), zatímco klíčová kritéria originality, významu a obtížnosti řešení nebyla zohledněna v potřebném rozsahu. To je v rozporu s kap. 8.2.c/e Metodiky M17+, která ukládá, že v M1 se hodnotitel má soustředit na obsah výsledku, nikoliv na metriky či citační ohlas.</w:t>
      </w:r>
    </w:p>
    <w:p w14:paraId="3235D9A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Konkrétní námitky k posudku #1:</w:t>
      </w:r>
    </w:p>
    <w:p w14:paraId="56ECE8A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Více než polovina textu tohoto posudku je věnována bibliometrickým informacím – např. údajům o časopise (Q1), počtu citací a jejich kontextu – přičemž hodnotitel sám konstatuje, že „článek byl publikován v solidním časopise v Q1“ a že „za pět let přitáhl sedm citací“. Tyto údaje následně používá jako jediný argument pro závěr: „S přihlédnutím k nepříliš vysokému počtu citací se domnívám, že není možné hodnotit výsledek nejvyšší známkou 1… s přiznanou nejistotou volím nakonec hodnocení 3“. Takové zdůvodnění je v M1 metodicky nepřípustné. Počet citací není indikátorem originality ani přínosu k poznání. Zároveň hodnotitel neuvádí žádné odborné posouzení obsahu práce, jejích experimentálních postupů či technického přínosu. Posudek dále obsahuje vyjádření: „Pakliže samotný počet citací není příliš vysoký, předkladatelé sami ve zdůvodnění výsledku moc dalších podpůrných argumentů neposkytují… Bohužel v případě časopisu Small se mi nepodařilo k citující práci dostat…“ – taková poznámka svědčí o tom, že hodnotitel nepracoval s vlastním textem výsledku, ale pouze s doprovodnými metadaty. Tato forma posuzování neodpovídá předpisu Metodiky M17+. Zcela chybí posouzení obsahu práce: článek přitom popisuje první čip s nanosekundovým pulzním elektrickým polem (nsPEF) kompatibilní se super-rezoluční mikroskopií (typu SIM - Structured Illumination Microscopy), schopný generovat elektrické pole řádu megavoltů na metr (MV/m) při stovkách voltů, s dvouportovým elektromagnetickým návrhem a velmi nízkými odrazy (|S11| &lt; −20 dB do 100 MHz, funkční přenos až k 1 GHz). Experimentálně byl prokázán vliv nsPEF na mikrotubulový cytoskelet (EB3 značení) v buňkách, t.j. poznatek, který představuje významný přínos k poznání interakce elektrických pulzů s biologickými nanostrukturami.</w:t>
      </w:r>
    </w:p>
    <w:p w14:paraId="59A59BC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Konkrétní námitky k posudku #2:</w:t>
      </w:r>
    </w:p>
    <w:p w14:paraId="415687C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Druhý posudek je velmi obecný a z většiny se omezuje na popis kontextu oboru a stručné poznámky k technické realizaci. Hodnotitel konstatuje, že „pro člověka, který toto umí, je obtížnost vyrobit hodnocený přípravek střední až malá“, a že „část přípravy vyžaduje znalosti z optiky, vf elektrotechniky a strojírenství“. Takové shrnutí nemůže nahradit odbornou analýzu originality, významu ani obtížnosti řešení. Publikace dokládá komplexní a inovativní přístup: elektromagnetický návrh s minimálními odrazy, mikro- a nanofabrikaci s elektrochemickým ztluštěním zlaté vrstvy, přesnou mechaniku, mikrofluidiku a integraci s mikroskopem typu SIM. Hodnotitelův závěr o „střední obtížnosti“ proto neodpovídá realitě ani obsahu práce. Posudek také nehodnotí originalitu a přínos v kontextu předchozích planárních PEF (Pulsed Electric Field) řešení, která vyžadovala kilovoltová (kV) napětí a neumožňovala super-rezoluční zobrazování. Práce Havelka et al. tyto bariéry překonává a experimentálně demonstruje nový přístup k zkoumání cytoskeletu pod nsPEF.</w:t>
      </w:r>
    </w:p>
    <w:p w14:paraId="2FA3864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Závěr: </w:t>
      </w:r>
    </w:p>
    <w:p w14:paraId="2F63395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Oba posudky vykazují metodické i odborné nedostatky a nenaplňují požadavky stanovené Metodikou M17+ pro M1. Převážují v nich bibliometrické úvahy a obecné popisy na úkor náležitého posouzení originality, významu a obtížnosti získání výsledku. S ohledem na uvedené skutečnosti žádáme o přehodnocení předmětného výsledku podle principů stanovených v kap. 4.h a 8.2 Metodiky M17+ a v případě, že panel </w:t>
      </w:r>
    </w:p>
    <w:p w14:paraId="0C9BBFD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dospěje k závěru o metodických nedostatcích posudků, o jeho nové projednání s využitím hodnotitelů se specializací v oblasti PEF a bioelektroniky. Zároveň doporučujeme zvážit vyloučení těchto hodnotitelů z databáze hodnotitelů pro rozpor jejich posudků s metodickými požadavky M1.</w:t>
      </w:r>
    </w:p>
    <w:p w14:paraId="4E1C1B0F" w14:textId="77777777" w:rsidR="00317816" w:rsidRPr="00C24D02" w:rsidRDefault="00317816" w:rsidP="00317816">
      <w:pPr>
        <w:suppressAutoHyphens w:val="0"/>
        <w:spacing w:after="144" w:line="360" w:lineRule="auto"/>
        <w:jc w:val="both"/>
        <w:rPr>
          <w:rFonts w:asciiTheme="minorHAnsi" w:eastAsia="Calibri" w:hAnsiTheme="minorHAnsi" w:cstheme="minorHAnsi"/>
        </w:rPr>
      </w:pPr>
      <w:r w:rsidRPr="00C24D02">
        <w:rPr>
          <w:rFonts w:asciiTheme="minorHAnsi" w:eastAsia="Calibri" w:hAnsiTheme="minorHAnsi" w:cstheme="minorHAnsi"/>
          <w:u w:val="single"/>
        </w:rPr>
        <w:t>Stanovisko garanta</w:t>
      </w:r>
      <w:r w:rsidRPr="00C24D02">
        <w:rPr>
          <w:rFonts w:asciiTheme="minorHAnsi" w:eastAsia="Calibri" w:hAnsiTheme="minorHAnsi" w:cstheme="minorHAnsi"/>
        </w:rPr>
        <w:t xml:space="preserve">: Oba hodnotitelé i panelista znovu posoudili předložený výsledek a nenašli žádné důvody pro změnu původního hodnocení známkou 3. Oba hodnotitelé nezpochybňují, že vyrobit popisovaný přístroj/přípravek vyžaduje pokročilé znalosti z elektrotechniky, návrhu mikro-vlnných obvodů, optiky a přesného strojírenství. Z tohoto pohledu je výrobek zřejmě na vynikající světové úrovni. Také je možné, že v oboru mikrobiologie přístroj otevírá nové možnosti výzkumu (avšak v této oblasti výsledek není posuzován). Výsledek byl přihlášen do oboru "elektrotechnika, elektronika, informační technologie" a do kategorie "přínos k poznání". A v tomto oboru (návrh mikrovlnného obvodu) je výsledek hodnocen známkou 3 </w:t>
      </w:r>
      <w:r w:rsidRPr="00C24D02">
        <w:rPr>
          <w:rFonts w:asciiTheme="minorHAnsi" w:eastAsia="Calibri" w:hAnsiTheme="minorHAnsi" w:cstheme="minorHAnsi"/>
        </w:rPr>
        <w:lastRenderedPageBreak/>
        <w:t>(výsledek, který je z hlediska originality, významu a obtížnosti získání mezinárodně uznávaný). Námitky, že hodnocení je v rozporu s metodikou M17+ jsou neopodstatněné.</w:t>
      </w:r>
    </w:p>
    <w:p w14:paraId="2746FADF"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rPr>
      </w:pPr>
      <w:r w:rsidRPr="00C24D02">
        <w:rPr>
          <w:rFonts w:asciiTheme="minorHAnsi" w:eastAsia="Calibri" w:hAnsiTheme="minorHAnsi" w:cstheme="minorHAnsi"/>
          <w:b/>
          <w:u w:val="single"/>
        </w:rPr>
        <w:t xml:space="preserve">Vyjádření Odborného panelu: </w:t>
      </w:r>
      <w:r w:rsidRPr="00C24D02">
        <w:rPr>
          <w:rFonts w:asciiTheme="minorHAnsi" w:eastAsia="Calibri" w:hAnsiTheme="minorHAnsi" w:cstheme="minorHAnsi"/>
        </w:rPr>
        <w:t>Panel navrhuje námitce nevyhovět a ponechat původní hodnocení stupněm 3.</w:t>
      </w:r>
    </w:p>
    <w:p w14:paraId="6913107B"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1EF54755" w14:textId="62519160" w:rsidR="00317816" w:rsidRPr="00C24D02" w:rsidRDefault="00317816" w:rsidP="00317816">
      <w:pPr>
        <w:suppressAutoHyphens w:val="0"/>
        <w:spacing w:before="240" w:after="144" w:line="360" w:lineRule="auto"/>
        <w:jc w:val="both"/>
        <w:rPr>
          <w:rFonts w:asciiTheme="minorHAnsi" w:eastAsia="Calibri" w:hAnsiTheme="minorHAnsi" w:cstheme="minorHAnsi"/>
        </w:rPr>
      </w:pPr>
      <w:r w:rsidRPr="00C24D02">
        <w:rPr>
          <w:rFonts w:asciiTheme="minorHAnsi" w:eastAsia="Calibri" w:hAnsiTheme="minorHAnsi" w:cstheme="minorHAnsi"/>
          <w:b/>
          <w:bCs/>
          <w:u w:val="single"/>
        </w:rPr>
        <w:t>Závěr KHV</w:t>
      </w:r>
      <w:r w:rsidRPr="00C24D02">
        <w:rPr>
          <w:rFonts w:asciiTheme="minorHAnsi" w:eastAsia="Calibri" w:hAnsiTheme="minorHAnsi" w:cstheme="minorHAnsi"/>
          <w:b/>
          <w:bCs/>
        </w:rPr>
        <w:t xml:space="preserve">: </w:t>
      </w:r>
      <w:r w:rsidRPr="00C24D02">
        <w:rPr>
          <w:rFonts w:asciiTheme="minorHAnsi" w:eastAsia="Calibri" w:hAnsiTheme="minorHAnsi" w:cstheme="minorHAnsi"/>
        </w:rPr>
        <w:t>KHV souhlasí s ponecháním původního hodnocení, které bylo uděleno podle platných pravidel.</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0107FDC8" w14:textId="77777777" w:rsidTr="003D1A59">
        <w:tc>
          <w:tcPr>
            <w:tcW w:w="2405" w:type="dxa"/>
          </w:tcPr>
          <w:p w14:paraId="42BE5C9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BF42A5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fyzikální chemie J. Heyrovského AV ČR</w:t>
            </w:r>
          </w:p>
        </w:tc>
      </w:tr>
      <w:tr w:rsidR="00317816" w:rsidRPr="00C24D02" w14:paraId="5F45D236" w14:textId="77777777" w:rsidTr="003D1A59">
        <w:tc>
          <w:tcPr>
            <w:tcW w:w="2405" w:type="dxa"/>
          </w:tcPr>
          <w:p w14:paraId="2A9F966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4759E8D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192251234</w:t>
            </w:r>
          </w:p>
        </w:tc>
      </w:tr>
      <w:tr w:rsidR="00317816" w:rsidRPr="00C24D02" w14:paraId="55A35112" w14:textId="77777777" w:rsidTr="003D1A59">
        <w:trPr>
          <w:trHeight w:val="741"/>
        </w:trPr>
        <w:tc>
          <w:tcPr>
            <w:tcW w:w="2405" w:type="dxa"/>
          </w:tcPr>
          <w:p w14:paraId="149E44D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6C3190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Dioxygen dissociation over man-made system at room temperature to form the active α-oxygen for methane oxidation</w:t>
            </w:r>
          </w:p>
        </w:tc>
      </w:tr>
      <w:tr w:rsidR="00317816" w:rsidRPr="00C24D02" w14:paraId="1FF797A1" w14:textId="77777777" w:rsidTr="003D1A59">
        <w:tc>
          <w:tcPr>
            <w:tcW w:w="2405" w:type="dxa"/>
          </w:tcPr>
          <w:p w14:paraId="7569F63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D18155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w:t>
            </w:r>
          </w:p>
        </w:tc>
      </w:tr>
      <w:tr w:rsidR="00317816" w:rsidRPr="00C24D02" w14:paraId="12087FC7" w14:textId="77777777" w:rsidTr="003D1A59">
        <w:tc>
          <w:tcPr>
            <w:tcW w:w="2405" w:type="dxa"/>
          </w:tcPr>
          <w:p w14:paraId="7880BA0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D6E784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5FDB0C45" w14:textId="77777777" w:rsidTr="003D1A59">
        <w:tc>
          <w:tcPr>
            <w:tcW w:w="2405" w:type="dxa"/>
          </w:tcPr>
          <w:p w14:paraId="6B1ABC3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66"/>
            </w:r>
            <w:r w:rsidRPr="00C24D02">
              <w:rPr>
                <w:rFonts w:asciiTheme="minorHAnsi" w:eastAsia="Calibri" w:hAnsiTheme="minorHAnsi" w:cstheme="minorHAnsi"/>
              </w:rPr>
              <w:t>)</w:t>
            </w:r>
          </w:p>
        </w:tc>
        <w:tc>
          <w:tcPr>
            <w:tcW w:w="6378" w:type="dxa"/>
          </w:tcPr>
          <w:p w14:paraId="7BB4BD9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2/1/-/2</w:t>
            </w:r>
          </w:p>
        </w:tc>
      </w:tr>
      <w:tr w:rsidR="00317816" w:rsidRPr="00C24D02" w14:paraId="509BDD81" w14:textId="77777777" w:rsidTr="003D1A59">
        <w:tc>
          <w:tcPr>
            <w:tcW w:w="2405" w:type="dxa"/>
          </w:tcPr>
          <w:p w14:paraId="7172A3F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609CA1F"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2.</w:t>
            </w:r>
          </w:p>
        </w:tc>
      </w:tr>
    </w:tbl>
    <w:p w14:paraId="068D7A54" w14:textId="77777777" w:rsidR="00317816" w:rsidRPr="00C24D02" w:rsidRDefault="00317816" w:rsidP="00317816">
      <w:pPr>
        <w:spacing w:after="144" w:line="360" w:lineRule="auto"/>
        <w:rPr>
          <w:rFonts w:asciiTheme="minorHAnsi" w:hAnsiTheme="minorHAnsi" w:cstheme="minorHAnsi"/>
        </w:rPr>
      </w:pPr>
    </w:p>
    <w:p w14:paraId="7C9AA188"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Výsledek není zaměřen na přímé využití v praxi</w:t>
      </w:r>
    </w:p>
    <w:p w14:paraId="5333E76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0940293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Význam studie publikované v časopise science advances, týkající se přímé oxidace metanu na methanol molekulární kyslíkem na železných centrech v zeolitech , spočívá nejen v experimentálním potvrzení tohoto procesu, ale také v návrhu nového typu aktivního místa, </w:t>
      </w:r>
      <w:r w:rsidRPr="00C24D02">
        <w:rPr>
          <w:rFonts w:asciiTheme="minorHAnsi" w:hAnsiTheme="minorHAnsi" w:cstheme="minorHAnsi"/>
        </w:rPr>
        <w:lastRenderedPageBreak/>
        <w:t>které podporuje funkci enzymů zcela odlišným mechanismem jedná se o zásadní posun v porozumění principům heterogenní katalýzy a o nový concept aktivace kyslíku v pevné fázi. </w:t>
      </w:r>
    </w:p>
    <w:p w14:paraId="7D79E69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Na tento objev navázala série dalších článků publikovaných předních mezinárodních časopisech, které dále rozvíjí princip aktivace kyslíku a jeho využití při vývoji nových materiálů aktivních transformaci methanu. Na základě tohoto výzkumu vznikla také spino společnost METTOC zaměřená na komercializaci výsledků a jejich využití v oblasti udržitelné přeměny methanu. Případné obavy týkající se komercializace procesu oxidace metanu na methanol za použití molekulárního kyslíku by mohly být v budoucnu rozptýlený úspěšným rozvojem společnosti směrem ke komercializaci tohoto procesu, a to prostřednictvím vyřešení a následného scale-up-u výsledků laboratorních výzkumů uvedených v publikaci, podpořeného kontakty spoluvlastníka spin-offu externího investora. </w:t>
      </w:r>
    </w:p>
    <w:p w14:paraId="488F1C5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Článek je relativně vysoce citovaný, což dokládá jeho mezinárodní dopad a význam nejen pro základní výzkum, ale i pro budoucí průmyslové aplikace. Přestože samotná práce není zaměřená na přímé technologické využití, položila pevný vědecký základ pro další vývoj prakticky aplikovatelných katalytických systémů.</w:t>
      </w:r>
    </w:p>
    <w:p w14:paraId="35403E4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Výsledek byl hodnocen jako originální, který přináší významné poznatky z oblasti zeolitové chemie. Na základě kladného hodnocení výsledku a srovnání s ostatními hodnocenými výsledky byl výsledek hodnocen jako vynikající v mezinárodním kontextu.</w:t>
      </w:r>
    </w:p>
    <w:p w14:paraId="7CA30F59"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Vyjádření Odborného panelu:</w:t>
      </w:r>
      <w:r w:rsidRPr="00C24D02">
        <w:rPr>
          <w:rFonts w:asciiTheme="minorHAnsi" w:hAnsiTheme="minorHAnsi" w:cstheme="minorHAnsi"/>
          <w:b/>
        </w:rPr>
        <w:t xml:space="preserve"> </w:t>
      </w:r>
      <w:r w:rsidRPr="00C24D02">
        <w:rPr>
          <w:rFonts w:asciiTheme="minorHAnsi" w:hAnsiTheme="minorHAnsi" w:cstheme="minorHAnsi"/>
        </w:rPr>
        <w:t>Panel navrhuje námitce nevyhovět a ponechat původní hodnocení stupněm 2.</w:t>
      </w:r>
    </w:p>
    <w:p w14:paraId="1690C172"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76D2221E" w14:textId="6E42FD7E"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Metodiky 2017+.</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504A241" w14:textId="77777777" w:rsidTr="003D1A59">
        <w:tc>
          <w:tcPr>
            <w:tcW w:w="2405" w:type="dxa"/>
          </w:tcPr>
          <w:p w14:paraId="7673C74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2B06AF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fyziky plazmatu AV ČR</w:t>
            </w:r>
          </w:p>
        </w:tc>
      </w:tr>
      <w:tr w:rsidR="00317816" w:rsidRPr="00C24D02" w14:paraId="7E91FDE9" w14:textId="77777777" w:rsidTr="003D1A59">
        <w:tc>
          <w:tcPr>
            <w:tcW w:w="2405" w:type="dxa"/>
          </w:tcPr>
          <w:p w14:paraId="2DD1829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98C833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192161950</w:t>
            </w:r>
          </w:p>
        </w:tc>
      </w:tr>
      <w:tr w:rsidR="00317816" w:rsidRPr="00C24D02" w14:paraId="6BE7E6D7" w14:textId="77777777" w:rsidTr="003D1A59">
        <w:trPr>
          <w:trHeight w:val="741"/>
        </w:trPr>
        <w:tc>
          <w:tcPr>
            <w:tcW w:w="2405" w:type="dxa"/>
          </w:tcPr>
          <w:p w14:paraId="41C6D14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035841F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Assessment of mechanical properties of SPS-produced tungsten including effect of neutron irradiation</w:t>
            </w:r>
          </w:p>
        </w:tc>
      </w:tr>
      <w:tr w:rsidR="00317816" w:rsidRPr="00C24D02" w14:paraId="458E4552" w14:textId="77777777" w:rsidTr="003D1A59">
        <w:tc>
          <w:tcPr>
            <w:tcW w:w="2405" w:type="dxa"/>
          </w:tcPr>
          <w:p w14:paraId="3A8FA9D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FORD</w:t>
            </w:r>
          </w:p>
        </w:tc>
        <w:tc>
          <w:tcPr>
            <w:tcW w:w="6378" w:type="dxa"/>
          </w:tcPr>
          <w:p w14:paraId="3473479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2.5</w:t>
            </w:r>
          </w:p>
        </w:tc>
      </w:tr>
      <w:tr w:rsidR="00317816" w:rsidRPr="00C24D02" w14:paraId="11A01711" w14:textId="77777777" w:rsidTr="003D1A59">
        <w:tc>
          <w:tcPr>
            <w:tcW w:w="2405" w:type="dxa"/>
          </w:tcPr>
          <w:p w14:paraId="7E062FF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E6B9E2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356AB5DB" w14:textId="77777777" w:rsidTr="003D1A59">
        <w:tc>
          <w:tcPr>
            <w:tcW w:w="2405" w:type="dxa"/>
          </w:tcPr>
          <w:p w14:paraId="45A19E2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67"/>
            </w:r>
            <w:r w:rsidRPr="00C24D02">
              <w:rPr>
                <w:rFonts w:asciiTheme="minorHAnsi" w:eastAsia="Calibri" w:hAnsiTheme="minorHAnsi" w:cstheme="minorHAnsi"/>
              </w:rPr>
              <w:t>)</w:t>
            </w:r>
          </w:p>
        </w:tc>
        <w:tc>
          <w:tcPr>
            <w:tcW w:w="6378" w:type="dxa"/>
          </w:tcPr>
          <w:p w14:paraId="643DE44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4/2/-/3</w:t>
            </w:r>
          </w:p>
        </w:tc>
      </w:tr>
      <w:tr w:rsidR="00317816" w:rsidRPr="00C24D02" w14:paraId="50D30E36" w14:textId="77777777" w:rsidTr="003D1A59">
        <w:tc>
          <w:tcPr>
            <w:tcW w:w="2405" w:type="dxa"/>
          </w:tcPr>
          <w:p w14:paraId="59CF726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6644C62"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4BD519D0" w14:textId="77777777" w:rsidR="00317816" w:rsidRPr="00C24D02" w:rsidRDefault="00317816" w:rsidP="00317816">
      <w:pPr>
        <w:spacing w:after="144" w:line="360" w:lineRule="auto"/>
        <w:rPr>
          <w:rFonts w:asciiTheme="minorHAnsi" w:hAnsiTheme="minorHAnsi" w:cstheme="minorHAnsi"/>
        </w:rPr>
      </w:pPr>
    </w:p>
    <w:p w14:paraId="494C257E"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 xml:space="preserve">Námitka: Posudek H1 se týká jiného výsledku </w:t>
      </w:r>
    </w:p>
    <w:p w14:paraId="09471FF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08A18A9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Hodnotitel 1 evidentně hodnotil úplně jiný výstup typu funkční vzorek připravený jinou technologií na jiných materiálech. Jeho hodnocení je proto irelevantní a dílčí známku 4 není podle našeho názoru možné do hodnocení zahrnout. Výsledná známka je zde 3 (asi průměr) je pak také zavádějící, protože jedno hodnocení je irelevantní. Žádáme proto o přezkoumání. </w:t>
      </w:r>
    </w:p>
    <w:p w14:paraId="384D959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Námitka uvádí, že hodnocení od oponenta 1 není relevantní danému výsledku, což je pravda a námitka se uznává. K tomuto hodnocení se nicméně vůbec nepřihlédlo vzhledem k faktu, že tento hodnotitel byl v možném střetu zájmů. </w:t>
      </w:r>
    </w:p>
    <w:p w14:paraId="1371D06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Neuvedení informace o vyřazení posudku Oponenta 1 je chybou, za kterou se omlouváme. V případě absence posudku je totiž možné, aby ho nahradil panelista, což se stalo. Panelista hodnotil výsledek známkou tři, odůvodnění je však velmi stručné, proto ho zde rozvinul.</w:t>
      </w:r>
    </w:p>
    <w:p w14:paraId="1054B88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Hlavní přínos navrhovatele byl v přípravě wolframu SPS technologií, ta je však v článku popsána jen velmi stručně (není tak jasné, jak byly optimalizovány parametry procesu). U dalších aktivit není jasné, jaký byl podíl AV. Meření je však zcela standardní, ať už se jedná o tensile test či fracture toughness. To se týká i analýzy výsledků, kdy je vliv ozařování neutrony popsán bez bližší identifikace typu poškození materiálu, množství defektů a jejich distribuce jak v objemu vzorku, tak v jednotlivých zrnech. Popis poškození je pouze na základě obrázků </w:t>
      </w:r>
      <w:r w:rsidRPr="00C24D02">
        <w:rPr>
          <w:rFonts w:asciiTheme="minorHAnsi" w:hAnsiTheme="minorHAnsi" w:cstheme="minorHAnsi"/>
        </w:rPr>
        <w:lastRenderedPageBreak/>
        <w:t>ze SEM, což je mnohdy zavádějící, navíc neposkytuje dost informací. MicroCT či analýza na sychrotronu by článku prospěla.</w:t>
      </w:r>
    </w:p>
    <w:p w14:paraId="1D37632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Jedná se tak spíše o stručné porovnání základních parametrů mezi nově připraveným wolframem a standardním vzorkem, což je nepochybně dobrý výsledek, ale nepřináší fundamentálně nic nového.</w:t>
      </w:r>
    </w:p>
    <w:p w14:paraId="70E41979"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3.</w:t>
      </w:r>
    </w:p>
    <w:p w14:paraId="79B22147"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21C438F0" w14:textId="1B03C103" w:rsidR="00317816" w:rsidRPr="00C24D02"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401F8EE" w14:textId="77777777" w:rsidTr="003D1A59">
        <w:tc>
          <w:tcPr>
            <w:tcW w:w="2405" w:type="dxa"/>
          </w:tcPr>
          <w:p w14:paraId="7FC925F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2C1E88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fyziky plazmatu AV ČR</w:t>
            </w:r>
          </w:p>
        </w:tc>
      </w:tr>
      <w:tr w:rsidR="00317816" w:rsidRPr="00C24D02" w14:paraId="7965AD85" w14:textId="77777777" w:rsidTr="003D1A59">
        <w:tc>
          <w:tcPr>
            <w:tcW w:w="2405" w:type="dxa"/>
          </w:tcPr>
          <w:p w14:paraId="1AB7884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DF48A2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192161903</w:t>
            </w:r>
          </w:p>
        </w:tc>
      </w:tr>
      <w:tr w:rsidR="00317816" w:rsidRPr="00C24D02" w14:paraId="36D14C24" w14:textId="77777777" w:rsidTr="003D1A59">
        <w:trPr>
          <w:trHeight w:val="741"/>
        </w:trPr>
        <w:tc>
          <w:tcPr>
            <w:tcW w:w="2405" w:type="dxa"/>
          </w:tcPr>
          <w:p w14:paraId="4CBECAF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4E7D451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The Role of Laser Texturing in Improving the Adhesion of Plasma Sprayed Tungsten Coatings</w:t>
            </w:r>
          </w:p>
        </w:tc>
      </w:tr>
      <w:tr w:rsidR="00317816" w:rsidRPr="00C24D02" w14:paraId="6EE73432" w14:textId="77777777" w:rsidTr="003D1A59">
        <w:tc>
          <w:tcPr>
            <w:tcW w:w="2405" w:type="dxa"/>
          </w:tcPr>
          <w:p w14:paraId="1662DC6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9AEB87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2.5</w:t>
            </w:r>
          </w:p>
        </w:tc>
      </w:tr>
      <w:tr w:rsidR="00317816" w:rsidRPr="00C24D02" w14:paraId="4E5C6EB1" w14:textId="77777777" w:rsidTr="003D1A59">
        <w:tc>
          <w:tcPr>
            <w:tcW w:w="2405" w:type="dxa"/>
          </w:tcPr>
          <w:p w14:paraId="36CA5E3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C8E68F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62E1AE2C" w14:textId="77777777" w:rsidTr="003D1A59">
        <w:tc>
          <w:tcPr>
            <w:tcW w:w="2405" w:type="dxa"/>
          </w:tcPr>
          <w:p w14:paraId="4B0F5C4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68"/>
            </w:r>
            <w:r w:rsidRPr="00C24D02">
              <w:rPr>
                <w:rFonts w:asciiTheme="minorHAnsi" w:eastAsia="Calibri" w:hAnsiTheme="minorHAnsi" w:cstheme="minorHAnsi"/>
              </w:rPr>
              <w:t>)</w:t>
            </w:r>
          </w:p>
        </w:tc>
        <w:tc>
          <w:tcPr>
            <w:tcW w:w="6378" w:type="dxa"/>
          </w:tcPr>
          <w:p w14:paraId="27542A2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2/2/-/3</w:t>
            </w:r>
          </w:p>
        </w:tc>
      </w:tr>
      <w:tr w:rsidR="00317816" w:rsidRPr="00C24D02" w14:paraId="7F0A92A8" w14:textId="77777777" w:rsidTr="003D1A59">
        <w:tc>
          <w:tcPr>
            <w:tcW w:w="2405" w:type="dxa"/>
          </w:tcPr>
          <w:p w14:paraId="06E3BAE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69871A58"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53A93E6D" w14:textId="77777777" w:rsidR="00317816" w:rsidRPr="00C24D02" w:rsidRDefault="00317816" w:rsidP="00317816">
      <w:pPr>
        <w:spacing w:after="144" w:line="360" w:lineRule="auto"/>
        <w:rPr>
          <w:rFonts w:asciiTheme="minorHAnsi" w:hAnsiTheme="minorHAnsi" w:cstheme="minorHAnsi"/>
        </w:rPr>
      </w:pPr>
    </w:p>
    <w:p w14:paraId="1ECCBE2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Kvalita výsledku</w:t>
      </w:r>
    </w:p>
    <w:p w14:paraId="2FA6CC5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CFAAD2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Konečné hodnocení známkou 3 (snížené panelistou přestože oba hodnotitelé navrhli známku 2) považujeme za neadekvátní. Článek přináší nové a kvantitativně doložené poznatky o vlivu laserového texturování na adhezi žárově stříkaných wolframových povlaků, včetně kvantifikace efektivní plochy povrchu (Tab. 2), kterou hodnotitel ve svém posudku opomenul. Publikace vznikla v mezinárodní spolupráci a byla oceněna „Honorable Mention“ v nejvýznamnějším oborovém časopise „Journal of Thermal Spray Technology“ Best Paper Award 2020 (ze 159 článků). Aktuálně má práce 20 citací (což je oboru žárových nástřiků velmi dobrá citovanost). Výsledky rovněž vedly k navazujícímu projektu TA ČR „ADVENTURE“ zaměřenému na další vývoj laserových technologií nejen pro fúzní aplikace.</w:t>
      </w:r>
    </w:p>
    <w:p w14:paraId="27D09E4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K vyjádření garanta uvádíme následující:</w:t>
      </w:r>
    </w:p>
    <w:p w14:paraId="095615F1" w14:textId="77777777" w:rsidR="00317816" w:rsidRPr="00C24D02" w:rsidRDefault="00317816" w:rsidP="00317816">
      <w:pPr>
        <w:spacing w:after="144" w:line="360" w:lineRule="auto"/>
        <w:ind w:left="567" w:hanging="425"/>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„Valná část článku se týká přípravy textur na oceli, což není nic nového.“</w:t>
      </w:r>
    </w:p>
    <w:p w14:paraId="46947ED7" w14:textId="77777777" w:rsidR="00317816" w:rsidRPr="00C24D02" w:rsidRDefault="00317816" w:rsidP="00317816">
      <w:pPr>
        <w:spacing w:after="144" w:line="360" w:lineRule="auto"/>
        <w:ind w:left="567"/>
        <w:jc w:val="both"/>
        <w:rPr>
          <w:rFonts w:asciiTheme="minorHAnsi" w:hAnsiTheme="minorHAnsi" w:cstheme="minorHAnsi"/>
        </w:rPr>
      </w:pPr>
      <w:r w:rsidRPr="00C24D02">
        <w:rPr>
          <w:rFonts w:asciiTheme="minorHAnsi" w:hAnsiTheme="minorHAnsi" w:cstheme="minorHAnsi"/>
        </w:rPr>
        <w:t>Laserové texturování se již opravdu uplatňuje v obecném strojírenství (jakkoli se nejedná o „běžnou“ metodu), avšak v tomto případě je metoda poprvé uplatněna pro fúzní materiálové aplikace, což je zcela nový kontext a přístup. Originalitu výsledků potvrzuje udělení ocenění JTST, ohlas od kolegů, jakož i pozitivní komentáře obou hodnotitelů.</w:t>
      </w:r>
    </w:p>
    <w:p w14:paraId="49D2D21A" w14:textId="77777777" w:rsidR="00317816" w:rsidRPr="00C24D02" w:rsidRDefault="00317816" w:rsidP="00317816">
      <w:pPr>
        <w:spacing w:after="144" w:line="360" w:lineRule="auto"/>
        <w:ind w:left="567" w:hanging="425"/>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„Není zde žádné zobecnění či detailnější analýza vlivu různých textur.“</w:t>
      </w:r>
    </w:p>
    <w:p w14:paraId="37D2FAAD" w14:textId="77777777" w:rsidR="00317816" w:rsidRPr="00C24D02" w:rsidRDefault="00317816" w:rsidP="00317816">
      <w:pPr>
        <w:spacing w:after="144" w:line="360" w:lineRule="auto"/>
        <w:ind w:left="567"/>
        <w:jc w:val="both"/>
        <w:rPr>
          <w:rFonts w:asciiTheme="minorHAnsi" w:hAnsiTheme="minorHAnsi" w:cstheme="minorHAnsi"/>
        </w:rPr>
      </w:pPr>
      <w:r w:rsidRPr="00C24D02">
        <w:rPr>
          <w:rFonts w:asciiTheme="minorHAnsi" w:hAnsiTheme="minorHAnsi" w:cstheme="minorHAnsi"/>
        </w:rPr>
        <w:t>V práci byla experimentálně zkoušena celá řada různých geometrií. Práce nebyla základní fyzikální studií, ale ověřením použitelnosti metody pro fúzní použití s cílem identifikovat nejvhodnější textury pro další vývoj. Tomu odpovídají i použité metody, experimentální rozsah práce a vyhodnocení zaměřené na praktické aspekty metody.</w:t>
      </w:r>
    </w:p>
    <w:p w14:paraId="33E78069" w14:textId="77777777" w:rsidR="00317816" w:rsidRPr="00C24D02" w:rsidRDefault="00317816" w:rsidP="00317816">
      <w:pPr>
        <w:spacing w:after="144" w:line="360" w:lineRule="auto"/>
        <w:ind w:left="567" w:hanging="425"/>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rPr>
        <w:tab/>
        <w:t>Poznámka: Hodnotitel 2 konstatuje, že povrch není nikde kvantifikován. To není pravda, hodnocení je uvedeno v posledním řádku v tabulce 2.</w:t>
      </w:r>
    </w:p>
    <w:p w14:paraId="5336138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Z uvedených důvodů máme za to, že závěr garanta neodpovídá věcné ani odborné podstatě článku a že stupeň 3 neodráží kvalitu, originalitu ani mezinárodní dopad výsledku. Žádáme o přehodnocení finální známky na stupeň 2. </w:t>
      </w:r>
    </w:p>
    <w:p w14:paraId="5C975A7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Výsledek byl hodnocen stupněm dva oběma hodnotiteli, panelista však využil svého práva a snížil stupeň hodnocení na tři. V námitce je jeden z argumentů uvedena kvalita časopisu a počet citací. Journal of Thermal Spray Technology je bezesporu kvalitní časopis, je však třeba říci, že články zabývající se cold spray technikami najdeme i v časopisech </w:t>
      </w:r>
      <w:r w:rsidRPr="00C24D02">
        <w:rPr>
          <w:rFonts w:asciiTheme="minorHAnsi" w:hAnsiTheme="minorHAnsi" w:cstheme="minorHAnsi"/>
        </w:rPr>
        <w:lastRenderedPageBreak/>
        <w:t>obecněji zaměřených, které mají větší dopad (Acta Mater, Nature group atd). Obecně však kvalita článku s kvalitou časopisu jen koreluje, tedy publikování v kvalitním časopise neznamená automaticky kvalitu všech článků. Jako další argument je uveden počet citací. To je však velmi minoritní kritérium a panelista počet citací nebere v potaz (stejně jako například UK hodnocení REF). Nicméně argumentace počtem velmi dobrou citovaností v oboru je poněkud pochybná. Námitka uvádí 20 citací, WoS udává jen 18 citací (včetně autocitací). Článek vyšel v říjnu 2019, tedy více jak před 6 lety. Počet citací tak opravdu není vysoký. Je to patrné i v přímém srovnání s články publikovanými ve stejném roce ve stejném časopise. Ze 169 prací je článek na cca 60. místě. Jak je uvedeno výše, citace panelistou nejsou zohledněny, ale pokud by byly, hodnocení by mělo být spíše horší.</w:t>
      </w:r>
    </w:p>
    <w:p w14:paraId="3577355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Jak je již uvedeno v popisu panelisty, článek se dá stručně shrnout jako experimentální příprava známou metodou na známé povrchy a poté zcela standardní měření pnutí a pozorování rozhraní v mikroskopu. Není zde žádná analýza, žádné zobecnění, pouze soubor naměřených dat. Námitka uvádí, že výsledky vedly k navazujícímu projektu TACR, což je sice pozitivní pro navrhovatele, ale nevypovídá nic o inovativnosti článku. Poslední výtka se týká novosti, kdy se namítá, že zde je metoda uplatněna pro fúzní aplikace. Možná je to trochu problém českého jazyka, ale že je něco nové (new) ještě neznamená, že se splní podmínka vědecké novosti (novel).</w:t>
      </w:r>
    </w:p>
    <w:p w14:paraId="394632D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Závěrem je potřeba říci, že úkolem panelisty je nejen použít hodnocení oponentů, ale porovnat kvalitu výsledku i s podobně hodnocenými výsledky v daném panelu. Oponent vidí jen malou část výsledků (někdy jen jeden), takže škálování mlže být někdy obtížné. Ve srovnání s výsledky ohodnocenými v panelu stupni dva a tři tak panelista rozhodl o udělení stupně 3.</w:t>
      </w:r>
    </w:p>
    <w:p w14:paraId="5518E241"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Vyjádření Odborného panelu:</w:t>
      </w:r>
      <w:r w:rsidRPr="00C24D02">
        <w:rPr>
          <w:rFonts w:asciiTheme="minorHAnsi" w:hAnsiTheme="minorHAnsi" w:cstheme="minorHAnsi"/>
          <w:b/>
        </w:rPr>
        <w:t xml:space="preserve"> </w:t>
      </w:r>
      <w:r w:rsidRPr="00C24D02">
        <w:rPr>
          <w:rFonts w:asciiTheme="minorHAnsi" w:hAnsiTheme="minorHAnsi" w:cstheme="minorHAnsi"/>
        </w:rPr>
        <w:t>Panel navrhuje námitce nevyhovět a ponechat původní hodnocení stupněm 3</w:t>
      </w:r>
    </w:p>
    <w:p w14:paraId="36ACBF6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
        </w:rPr>
        <w:t xml:space="preserve"> </w:t>
      </w:r>
      <w:r w:rsidRPr="00C24D02">
        <w:rPr>
          <w:rFonts w:asciiTheme="minorHAnsi" w:hAnsiTheme="minorHAnsi" w:cstheme="minorHAnsi"/>
        </w:rPr>
        <w:t xml:space="preserve">Při hodnocení garant postupoval dle oddílu 7.2.3 </w:t>
      </w:r>
      <w:r w:rsidRPr="00C24D02">
        <w:rPr>
          <w:rFonts w:asciiTheme="minorHAnsi" w:hAnsiTheme="minorHAnsi" w:cstheme="minorHAnsi"/>
          <w:b/>
          <w:bCs/>
        </w:rPr>
        <w:t>Rozhodování o výsledném zařazení výsledku na hodnoticí škále</w:t>
      </w:r>
      <w:r w:rsidRPr="00C24D02">
        <w:rPr>
          <w:rFonts w:asciiTheme="minorHAnsi" w:hAnsiTheme="minorHAnsi" w:cstheme="minorHAnsi"/>
        </w:rPr>
        <w:t>, písmene d), Postupu</w:t>
      </w:r>
      <w:r w:rsidRPr="00C24D02">
        <w:rPr>
          <w:rStyle w:val="Znakapoznpodarou"/>
          <w:rFonts w:asciiTheme="minorHAnsi" w:eastAsiaTheme="majorEastAsia" w:hAnsiTheme="minorHAnsi" w:cstheme="minorHAnsi"/>
        </w:rPr>
        <w:footnoteReference w:id="69"/>
      </w:r>
      <w:r w:rsidRPr="00C24D02">
        <w:rPr>
          <w:rFonts w:asciiTheme="minorHAnsi" w:hAnsiTheme="minorHAnsi" w:cstheme="minorHAnsi"/>
        </w:rPr>
        <w:t>, ve kterém je uvedeno: „</w:t>
      </w:r>
      <w:r w:rsidRPr="00C24D02">
        <w:rPr>
          <w:rFonts w:asciiTheme="minorHAnsi" w:hAnsiTheme="minorHAnsi" w:cstheme="minorHAnsi"/>
          <w:i/>
          <w:iCs/>
        </w:rPr>
        <w:t xml:space="preserve">Garant hodnocení vybraných výsledků má právo udělit výsledné </w:t>
      </w:r>
      <w:r w:rsidRPr="00C24D02">
        <w:rPr>
          <w:rFonts w:asciiTheme="minorHAnsi" w:hAnsiTheme="minorHAnsi" w:cstheme="minorHAnsi"/>
          <w:i/>
          <w:iCs/>
        </w:rPr>
        <w:lastRenderedPageBreak/>
        <w:t>hodnocení odlišující se o jeden stupeň od rozsahu, který je dán hodnotiteli. Toto rozhodnutí musí zdůvodnit. Pokud garant bibliometrické analýzy s navržením hodnocením nesouhlasí, může navrhnout alternativu. V případě, že oba garanti nedosáhnou konsensu, postoupí své návrhy předsedovi panelu, který se standardně přikloní k jednomu z návrhů. Tímto rozhodnutím může být pověřen i místopředseda Odborného panelu.“</w:t>
      </w:r>
    </w:p>
    <w:p w14:paraId="0B23749E" w14:textId="60A03972"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ponecháním původního hodnocení, které bylo uděleno podle platných pravidel hodnocení. Podotýká, že argumenty založené na publikačních parametrech jsou v Modulu M2 jen doplňkovými údaji. Hodnocení v Modulu M1 se soustředí zejména na originalitu, dopad a význam výsledku.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8B209FD" w14:textId="77777777" w:rsidTr="003D1A59">
        <w:tc>
          <w:tcPr>
            <w:tcW w:w="2405" w:type="dxa"/>
          </w:tcPr>
          <w:p w14:paraId="6A3D989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813550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geoniky AV ČR</w:t>
            </w:r>
          </w:p>
        </w:tc>
      </w:tr>
      <w:tr w:rsidR="00317816" w:rsidRPr="00C24D02" w14:paraId="773614A4" w14:textId="77777777" w:rsidTr="003D1A59">
        <w:tc>
          <w:tcPr>
            <w:tcW w:w="2405" w:type="dxa"/>
          </w:tcPr>
          <w:p w14:paraId="6136394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8412BB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192493819</w:t>
            </w:r>
          </w:p>
        </w:tc>
      </w:tr>
      <w:tr w:rsidR="00317816" w:rsidRPr="00C24D02" w14:paraId="6358F539" w14:textId="77777777" w:rsidTr="003D1A59">
        <w:trPr>
          <w:trHeight w:val="741"/>
        </w:trPr>
        <w:tc>
          <w:tcPr>
            <w:tcW w:w="2405" w:type="dxa"/>
          </w:tcPr>
          <w:p w14:paraId="70C2D4C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D69EA9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Internetový znalostní portál azbestů</w:t>
            </w:r>
          </w:p>
        </w:tc>
      </w:tr>
      <w:tr w:rsidR="00317816" w:rsidRPr="00C24D02" w14:paraId="725DB65D" w14:textId="77777777" w:rsidTr="003D1A59">
        <w:tc>
          <w:tcPr>
            <w:tcW w:w="2405" w:type="dxa"/>
          </w:tcPr>
          <w:p w14:paraId="66C4743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9ABE43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1.5</w:t>
            </w:r>
          </w:p>
        </w:tc>
      </w:tr>
      <w:tr w:rsidR="00317816" w:rsidRPr="00C24D02" w14:paraId="3B340147" w14:textId="77777777" w:rsidTr="003D1A59">
        <w:tc>
          <w:tcPr>
            <w:tcW w:w="2405" w:type="dxa"/>
          </w:tcPr>
          <w:p w14:paraId="1029FF1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362B6E5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2E08B1D9" w14:textId="77777777" w:rsidTr="003D1A59">
        <w:tc>
          <w:tcPr>
            <w:tcW w:w="2405" w:type="dxa"/>
          </w:tcPr>
          <w:p w14:paraId="5521D13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70"/>
            </w:r>
            <w:r w:rsidRPr="00C24D02">
              <w:rPr>
                <w:rFonts w:asciiTheme="minorHAnsi" w:eastAsia="Calibri" w:hAnsiTheme="minorHAnsi" w:cstheme="minorHAnsi"/>
              </w:rPr>
              <w:t>)</w:t>
            </w:r>
          </w:p>
        </w:tc>
        <w:tc>
          <w:tcPr>
            <w:tcW w:w="6378" w:type="dxa"/>
          </w:tcPr>
          <w:p w14:paraId="0D631AD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4/3/-/4</w:t>
            </w:r>
          </w:p>
        </w:tc>
      </w:tr>
      <w:tr w:rsidR="00317816" w:rsidRPr="00C24D02" w14:paraId="240966C6" w14:textId="77777777" w:rsidTr="003D1A59">
        <w:tc>
          <w:tcPr>
            <w:tcW w:w="2405" w:type="dxa"/>
          </w:tcPr>
          <w:p w14:paraId="1E9B973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204FA76"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17B86E9B" w14:textId="77777777" w:rsidR="00317816" w:rsidRPr="00C24D02" w:rsidRDefault="00317816" w:rsidP="00317816">
      <w:pPr>
        <w:spacing w:after="144" w:line="360" w:lineRule="auto"/>
        <w:rPr>
          <w:rFonts w:asciiTheme="minorHAnsi" w:hAnsiTheme="minorHAnsi" w:cstheme="minorHAnsi"/>
        </w:rPr>
      </w:pPr>
    </w:p>
    <w:p w14:paraId="1977FE63"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Vysoká kvalita výsledku</w:t>
      </w:r>
    </w:p>
    <w:p w14:paraId="2B66D9C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3BDA1E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Předkladatelé výsledku "Internetový znalostní portál azbestů" se domnívají, že při jeho hodnocení byly opomenuty některé zásadní skutečnosti, které jsou zcela zřetelně uvedeny v předloženém zdůvodnění významu výsledku, které měli hodnotitelé k dispozici. Je tam například jasně konstatováno, že na rozdíl od některých zemí, jako je Německo, Francie, USA nebo Austrálie, v České republice do zpracování výše uvedeného výsledku neexistovalo </w:t>
      </w:r>
      <w:r w:rsidRPr="00C24D02">
        <w:rPr>
          <w:rFonts w:asciiTheme="minorHAnsi" w:hAnsiTheme="minorHAnsi" w:cstheme="minorHAnsi"/>
        </w:rPr>
        <w:lastRenderedPageBreak/>
        <w:t>jakékoliv nařízení, technická norma nebo metodický návod, zabývající se přítomností přirozeně se vyskytujících azbestů (NOA) v horninách a drceném kamenivu. Proto bylo nutno, ještě před výběrem a detailním hodnocením 139 lokalit s potenciálním výskytem NOA, vytvořit zcela nové, původní a originální metodické postupy pro odběr vzorků hornin a kameniva a analýzu přítomnosti NOA v těchto materiálech, ověřit jejich účinnost a teprve potom na jejich základě hodnotit lokality. Obě metodiky jsou součástí portálu a hodnotitelé tak měli možnost se s nimi seznámit. Proto autoři výsledku žádném případě nerozumí konstatování jednoho z hodnotitelů, že, citujeme "… portál obsahuje i popis metodiky identifikace azbestových vláken pomocí optické mikroskopie, který je poměrně obecně známý ...". V horninách je postup identifikace NOA poměrně složitou záležitostí, už jenom s ohledem na nutnost šetrné přípravy analytického vzorku tak, aby druhotně nedocházelo ke vzniku nových vláknitých útvarů a dodnes je tak předmětem diskusí. Navíc, v Metodickém návodu pro stanovení přítomnosti azbestových vláken v horninách byla ověřována řada dalších analytických metod, například SEM/EDS nebo TEM/EDS, které jsou rozhodně přínosnější a obecně sofistikovanější než hodnotitelem zmíněná optická mikroskopie. Vytvořený postup identifikace NOA v horninách, včetně metodiky odlišení štěpných úlomků (cleavage fragments) od skutečných azbestových vláken je zcela původní a originální. Proto autoři výsledku nemohou v žádném případě souhlasit ani s dalším konstatováním hodnotitele, že, citujeme " ... jde jen o informační zdroj, který má spíš charakter popularizace poznatků ...".</w:t>
      </w:r>
    </w:p>
    <w:p w14:paraId="3CF7EE8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Rovněž rozsah, v jakém je hodnoceno geologické prostředí ČR z hlediska možného obsahu NOA (tj. 139 (!) lokalit, vybraných na základě detailní rešerše a vlastních odborných geologických znalostí řešitelů) je unikátní, viz poslední odstavec zdůvodnění - "obdobný zdroj informací srovnatelného typu a rozsahu nebyl dosud v České republice vytvořen"…..</w:t>
      </w:r>
    </w:p>
    <w:p w14:paraId="0E85CCC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Odborný panel podrobně posoudil námitku předkladatelů výsledku „Internetový znalostní portál azbestů“. Předkladatelé ve svém odvolání správně upozorňují na to, že v České republice dosud neexistoval ucelený přehled lokalit s potenciálním výskytem přirozených azbestů (NOA), ani metodické návody pro jejich cílenou identifikaci. Poukazují také na vytvoření vlastních analytických postupů, včetně využití pokročilých metod SEM/EDS a TEM/EDS, a na to, že portál zpřístupňuje výsledky komplexního terénního šetření na 139 lokalitách, což je v českém prostředí unikátní a cenný zdroj informací. Tyto skutečnosti panel respektuje a vnímá je jako významný odborný přínos. Přesto je nutné při hodnocení vycházet </w:t>
      </w:r>
      <w:r w:rsidRPr="00C24D02">
        <w:rPr>
          <w:rFonts w:asciiTheme="minorHAnsi" w:hAnsiTheme="minorHAnsi" w:cstheme="minorHAnsi"/>
        </w:rPr>
        <w:lastRenderedPageBreak/>
        <w:t>z kritéria společenské relevance, které si výzkumná organizace sama zvolila. Z tohoto hlediska je rozhodující míra reálného a prokazatelného dopadu na praxi. Ačkoliv portál poskytuje ucelený soubor dat a metodických informací, jeho aktuální role je především podpůrná a informační. Výsledek přispívá ke zvýšení dostupnosti znalostí o NOA a může sloužit jako užitečný podklad pro státní správu či odborné instituce, nicméně není doloženo jeho přímé a systematické využívání v rozhodovacích procesech, regulatorní praxi, nebo v rámci závazných metodických předpisů. Argument o garanci Ministerstva životního prostředí byl zohledněn, ale nepředstavuje sám o sobě důkaz o skutečném implementačním dopadu. Stejně tak originalita metodik posiluje hodnotu výzkumu, avšak vzhledem ke zvolenému kritériu ji nelze považovat za rozhodující prvek pro zvýšení společenské relevance. S ohledem na výše uvedené panel konstatuje, že výsledek má ověřitelný, avšak dílčí dopad v oblasti informování a prevence, typický pro hodnocení na stupni 4. Chybí však prokázaný širší praktický účinek či předpoklad bezprostřední změny postupů v oblastech veřejného zájmu, který by odůvodňoval vyšší stupeň. Panel tedy konstatuje, že známka 4 je proto adekvátním a odůvodněným ohodnocením společenské relevance výsledku.</w:t>
      </w:r>
    </w:p>
    <w:p w14:paraId="3E0E39E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42CF0DB5"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6B564810" w14:textId="7DC8AB71"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ponecháním původního hodnocení, které bylo uděleno podle stávajících pravidel.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47F7DE7" w14:textId="77777777" w:rsidTr="003D1A59">
        <w:tc>
          <w:tcPr>
            <w:tcW w:w="2405" w:type="dxa"/>
          </w:tcPr>
          <w:p w14:paraId="6817729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693F08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pro jazyk český AV ČR</w:t>
            </w:r>
          </w:p>
        </w:tc>
      </w:tr>
      <w:tr w:rsidR="00317816" w:rsidRPr="00C24D02" w14:paraId="169A8E53" w14:textId="77777777" w:rsidTr="003D1A59">
        <w:tc>
          <w:tcPr>
            <w:tcW w:w="2405" w:type="dxa"/>
          </w:tcPr>
          <w:p w14:paraId="3A0DE15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418B431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192499805</w:t>
            </w:r>
          </w:p>
        </w:tc>
      </w:tr>
      <w:tr w:rsidR="00317816" w:rsidRPr="00C24D02" w14:paraId="165197DC" w14:textId="77777777" w:rsidTr="003D1A59">
        <w:trPr>
          <w:trHeight w:val="741"/>
        </w:trPr>
        <w:tc>
          <w:tcPr>
            <w:tcW w:w="2405" w:type="dxa"/>
          </w:tcPr>
          <w:p w14:paraId="4252B10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95D960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Atlas nářečí českého jazyka – nominativ singuláru feminin</w:t>
            </w:r>
          </w:p>
        </w:tc>
      </w:tr>
      <w:tr w:rsidR="00317816" w:rsidRPr="00C24D02" w14:paraId="674ED098" w14:textId="77777777" w:rsidTr="003D1A59">
        <w:tc>
          <w:tcPr>
            <w:tcW w:w="2405" w:type="dxa"/>
          </w:tcPr>
          <w:p w14:paraId="533B9C9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0F2A27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6.2</w:t>
            </w:r>
          </w:p>
        </w:tc>
      </w:tr>
      <w:tr w:rsidR="00317816" w:rsidRPr="00C24D02" w14:paraId="17BBA5BE" w14:textId="77777777" w:rsidTr="003D1A59">
        <w:tc>
          <w:tcPr>
            <w:tcW w:w="2405" w:type="dxa"/>
          </w:tcPr>
          <w:p w14:paraId="55A5479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0B9173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3EC00EBB" w14:textId="77777777" w:rsidTr="003D1A59">
        <w:tc>
          <w:tcPr>
            <w:tcW w:w="2405" w:type="dxa"/>
          </w:tcPr>
          <w:p w14:paraId="14D235E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71"/>
            </w:r>
            <w:r w:rsidRPr="00C24D02">
              <w:rPr>
                <w:rFonts w:asciiTheme="minorHAnsi" w:eastAsia="Calibri" w:hAnsiTheme="minorHAnsi" w:cstheme="minorHAnsi"/>
              </w:rPr>
              <w:t>)</w:t>
            </w:r>
          </w:p>
        </w:tc>
        <w:tc>
          <w:tcPr>
            <w:tcW w:w="6378" w:type="dxa"/>
          </w:tcPr>
          <w:p w14:paraId="5F6B9F0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2/4/4/4</w:t>
            </w:r>
          </w:p>
        </w:tc>
      </w:tr>
      <w:tr w:rsidR="00317816" w:rsidRPr="00C24D02" w14:paraId="30C47801" w14:textId="77777777" w:rsidTr="003D1A59">
        <w:tc>
          <w:tcPr>
            <w:tcW w:w="2405" w:type="dxa"/>
          </w:tcPr>
          <w:p w14:paraId="6901F13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A8F267E"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7C3C9C18" w14:textId="77777777" w:rsidR="00317816" w:rsidRPr="00C24D02" w:rsidRDefault="00317816" w:rsidP="00317816">
      <w:pPr>
        <w:spacing w:after="144" w:line="360" w:lineRule="auto"/>
        <w:rPr>
          <w:rFonts w:asciiTheme="minorHAnsi" w:hAnsiTheme="minorHAnsi" w:cstheme="minorHAnsi"/>
        </w:rPr>
      </w:pPr>
    </w:p>
    <w:p w14:paraId="3C3D4DD7"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Kritérium hodnocení</w:t>
      </w:r>
    </w:p>
    <w:p w14:paraId="16DFF42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8A6DEE7" w14:textId="77777777" w:rsidR="00317816" w:rsidRPr="00C24D02" w:rsidRDefault="00317816" w:rsidP="00317816">
      <w:pPr>
        <w:numPr>
          <w:ilvl w:val="0"/>
          <w:numId w:val="10"/>
        </w:numPr>
        <w:spacing w:after="144" w:line="360" w:lineRule="auto"/>
        <w:jc w:val="both"/>
        <w:rPr>
          <w:rFonts w:asciiTheme="minorHAnsi" w:hAnsiTheme="minorHAnsi" w:cstheme="minorHAnsi"/>
        </w:rPr>
      </w:pPr>
      <w:r w:rsidRPr="00C24D02">
        <w:rPr>
          <w:rFonts w:asciiTheme="minorHAnsi" w:hAnsiTheme="minorHAnsi" w:cstheme="minorHAnsi"/>
        </w:rPr>
        <w:t xml:space="preserve">Kritérium </w:t>
      </w:r>
      <w:r w:rsidRPr="00C24D02">
        <w:rPr>
          <w:rFonts w:asciiTheme="minorHAnsi" w:hAnsiTheme="minorHAnsi" w:cstheme="minorHAnsi"/>
          <w:b/>
          <w:bCs/>
        </w:rPr>
        <w:t>mezinárodního přesahu</w:t>
      </w:r>
      <w:r w:rsidRPr="00C24D02">
        <w:rPr>
          <w:rFonts w:asciiTheme="minorHAnsi" w:hAnsiTheme="minorHAnsi" w:cstheme="minorHAnsi"/>
        </w:rPr>
        <w:t xml:space="preserve">, které je u některých výstupů uplatňováno jako hlavní argument pro snížené hodnocení, je v kontextu bohemistického výzkumu nespravedlivé, protože zvýhodňuje pracoviště, která mají výzkum zahraničních či globálních témat jako svou hlavní činnost. Jako příklad </w:t>
      </w:r>
      <w:r w:rsidRPr="00C24D02">
        <w:rPr>
          <w:rFonts w:asciiTheme="minorHAnsi" w:hAnsiTheme="minorHAnsi" w:cstheme="minorHAnsi"/>
          <w:b/>
          <w:bCs/>
        </w:rPr>
        <w:t xml:space="preserve">nespravedlivého argumentování tématem </w:t>
      </w:r>
      <w:r w:rsidRPr="00C24D02">
        <w:rPr>
          <w:rFonts w:asciiTheme="minorHAnsi" w:hAnsiTheme="minorHAnsi" w:cstheme="minorHAnsi"/>
        </w:rPr>
        <w:t xml:space="preserve">můžeme uvést hodnocení výsledku 192499805 (Atlas nářečí českého jazyka – nominativ singuláru feminin): „Výsledek má nepochybně hodnotu pro národní filologii, nemá ale bohužel širší mezinárodní dopad, což je pochopitelné s ohledem na téma.“ </w:t>
      </w:r>
    </w:p>
    <w:p w14:paraId="24C2101F"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u w:val="single"/>
        </w:rPr>
        <w:t>Stanovisko garanta</w:t>
      </w:r>
      <w:r w:rsidRPr="00C24D02">
        <w:rPr>
          <w:rFonts w:asciiTheme="minorHAnsi" w:hAnsiTheme="minorHAnsi" w:cstheme="minorHAnsi"/>
        </w:rPr>
        <w:t xml:space="preserve">: </w:t>
      </w:r>
      <w:r w:rsidRPr="00C24D02">
        <w:rPr>
          <w:rFonts w:asciiTheme="minorHAnsi" w:hAnsiTheme="minorHAnsi" w:cstheme="minorHAnsi"/>
          <w:bCs/>
        </w:rPr>
        <w:t>Kritérium mezinárodního přesahu.</w:t>
      </w:r>
    </w:p>
    <w:p w14:paraId="43F144B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Mezinárodní přesah je zcela klíčovým kritériem hodnocení dodaných výsledků. Cílem hodnotitelů a panelistů není v žádném případě znevýhodňovat domácí instituci takové kvality a nezastupitelnosti v bohemistickém primárním výzkumu, jakou je Ústav pro jazyk český. Mezinárodní přesah v případech bohemik pochopitelně odkazuje k obecně metodologickým a komparativním rozměrům, které konkrétní publikace nabízí pro zahraniční badatele a veřejnost. Proto výsledkům z této oblasti a jejich hodnocení věnujeme zvýšenou pozornost. </w:t>
      </w:r>
      <w:r w:rsidRPr="00C24D02">
        <w:rPr>
          <w:rFonts w:asciiTheme="minorHAnsi" w:hAnsiTheme="minorHAnsi" w:cstheme="minorHAnsi"/>
          <w:b/>
          <w:bCs/>
        </w:rPr>
        <w:t>Panel zůstává u svého hodnocení známkou 4.</w:t>
      </w:r>
    </w:p>
    <w:p w14:paraId="19E4DC19" w14:textId="77777777" w:rsidR="00317816" w:rsidRPr="00C24D02" w:rsidRDefault="00317816" w:rsidP="00317816">
      <w:pPr>
        <w:spacing w:before="240" w:after="144" w:line="360" w:lineRule="auto"/>
        <w:jc w:val="both"/>
        <w:rPr>
          <w:rFonts w:asciiTheme="minorHAnsi" w:hAnsiTheme="minorHAnsi" w:cstheme="minorHAnsi"/>
          <w:b/>
          <w:u w:val="single"/>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bCs/>
        </w:rPr>
        <w:t>Panel doporučuje zachovat stávající hodnocení známkou 4.</w:t>
      </w:r>
    </w:p>
    <w:p w14:paraId="7BDC5B7B"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761468B5" w14:textId="166616DF" w:rsidR="00317816" w:rsidRPr="00C24D02"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ponecháním původního hodnocení, které bylo uděleno podle stávajících pravidel Metodiky. Hlavním argumentem pro ponechání známky není </w:t>
      </w:r>
      <w:r w:rsidRPr="00C24D02">
        <w:rPr>
          <w:rFonts w:asciiTheme="minorHAnsi" w:hAnsiTheme="minorHAnsi" w:cstheme="minorHAnsi"/>
        </w:rPr>
        <w:lastRenderedPageBreak/>
        <w:t>nedostatečný mezinárodní dopad, jako spíše nízká originalita výzkumu, který do velké míry navazuje na již dříve publikovaná data.</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CEE1C6E" w14:textId="77777777" w:rsidTr="003D1A59">
        <w:tc>
          <w:tcPr>
            <w:tcW w:w="2405" w:type="dxa"/>
          </w:tcPr>
          <w:p w14:paraId="0801D3F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92CF63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pro jazyk český AV ČR</w:t>
            </w:r>
          </w:p>
        </w:tc>
      </w:tr>
      <w:tr w:rsidR="00317816" w:rsidRPr="00C24D02" w14:paraId="0855D6CE" w14:textId="77777777" w:rsidTr="003D1A59">
        <w:tc>
          <w:tcPr>
            <w:tcW w:w="2405" w:type="dxa"/>
          </w:tcPr>
          <w:p w14:paraId="35C5853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595A13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192509871</w:t>
            </w:r>
          </w:p>
        </w:tc>
      </w:tr>
      <w:tr w:rsidR="00317816" w:rsidRPr="00C24D02" w14:paraId="67841B60" w14:textId="77777777" w:rsidTr="003D1A59">
        <w:trPr>
          <w:trHeight w:val="741"/>
        </w:trPr>
        <w:tc>
          <w:tcPr>
            <w:tcW w:w="2405" w:type="dxa"/>
          </w:tcPr>
          <w:p w14:paraId="601E560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06D654E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První tištěný žaltář. Kritická edice staročeského překladu</w:t>
            </w:r>
          </w:p>
        </w:tc>
      </w:tr>
      <w:tr w:rsidR="00317816" w:rsidRPr="00C24D02" w14:paraId="0122EBF6" w14:textId="77777777" w:rsidTr="003D1A59">
        <w:tc>
          <w:tcPr>
            <w:tcW w:w="2405" w:type="dxa"/>
          </w:tcPr>
          <w:p w14:paraId="521B1C9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524000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6.2</w:t>
            </w:r>
          </w:p>
        </w:tc>
      </w:tr>
      <w:tr w:rsidR="00317816" w:rsidRPr="00C24D02" w14:paraId="28CFDEA8" w14:textId="77777777" w:rsidTr="003D1A59">
        <w:tc>
          <w:tcPr>
            <w:tcW w:w="2405" w:type="dxa"/>
          </w:tcPr>
          <w:p w14:paraId="33C2EBF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57E289D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0A6654E9" w14:textId="77777777" w:rsidTr="003D1A59">
        <w:tc>
          <w:tcPr>
            <w:tcW w:w="2405" w:type="dxa"/>
          </w:tcPr>
          <w:p w14:paraId="499D9C7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72"/>
            </w:r>
            <w:r w:rsidRPr="00C24D02">
              <w:rPr>
                <w:rFonts w:asciiTheme="minorHAnsi" w:eastAsia="Calibri" w:hAnsiTheme="minorHAnsi" w:cstheme="minorHAnsi"/>
              </w:rPr>
              <w:t>)</w:t>
            </w:r>
          </w:p>
        </w:tc>
        <w:tc>
          <w:tcPr>
            <w:tcW w:w="6378" w:type="dxa"/>
          </w:tcPr>
          <w:p w14:paraId="3E88350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1/2/-/3</w:t>
            </w:r>
          </w:p>
        </w:tc>
      </w:tr>
      <w:tr w:rsidR="00317816" w:rsidRPr="00C24D02" w14:paraId="7E5F86F1" w14:textId="77777777" w:rsidTr="003D1A59">
        <w:tc>
          <w:tcPr>
            <w:tcW w:w="2405" w:type="dxa"/>
          </w:tcPr>
          <w:p w14:paraId="12D4378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263EBF2"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2.</w:t>
            </w:r>
          </w:p>
        </w:tc>
      </w:tr>
    </w:tbl>
    <w:p w14:paraId="31C8B846" w14:textId="77777777" w:rsidR="00317816" w:rsidRPr="00C24D02" w:rsidRDefault="00317816" w:rsidP="00317816">
      <w:pPr>
        <w:spacing w:after="144" w:line="360" w:lineRule="auto"/>
        <w:rPr>
          <w:rFonts w:asciiTheme="minorHAnsi" w:hAnsiTheme="minorHAnsi" w:cstheme="minorHAnsi"/>
        </w:rPr>
      </w:pPr>
    </w:p>
    <w:p w14:paraId="7C521E7B"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 xml:space="preserve">Námitka: Nesprávné udělení finální známky </w:t>
      </w:r>
    </w:p>
    <w:p w14:paraId="756858B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F1FF3B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Vzhledem k dílčím známkám 1, 2 a 3 nedává finální známka 3 smysl aritmeticky ani logicky. Předpokládáme, že se jedná o omyl, a žádáme, aby byla finální známka změněna na 2, nebo aby byla její nápadná nesymetričnost náležitě zdůvodněna. </w:t>
      </w:r>
    </w:p>
    <w:p w14:paraId="47D4A25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Hodnotitelé opomíjejí, že u průkopnického zpracování a výzkumu rozsáhlého pramene je logické nejprve jeho zasazení do národního historického a jazykového kontextu, nutného předstupně výzkumu překračujícího hranice jazyka a regionu. </w:t>
      </w:r>
    </w:p>
    <w:p w14:paraId="4364EA0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Námitka spočívá v udělování známek. Výsledná známka zcela správně nedává aritmeticky smysl, nýbrž reflektuje právě ono zasazení publikace „do národního historického a jazykového kontextu“, které je pochopitelně „nutným předstupněm výzkumu překračujícího hranice jazyka a regionu“. Hodnocením tohoto předstupně je známka 3, zcela </w:t>
      </w:r>
      <w:r w:rsidRPr="00C24D02">
        <w:rPr>
          <w:rFonts w:asciiTheme="minorHAnsi" w:hAnsiTheme="minorHAnsi" w:cstheme="minorHAnsi"/>
        </w:rPr>
        <w:lastRenderedPageBreak/>
        <w:t xml:space="preserve">v souladu s hodnotícími kritérii. Panelista v tomto případě nenásledoval poněkud nadsazená hodnocení hodnotitelů a hodnotil publikaci zcela v souladu s těmito kritérii. </w:t>
      </w:r>
    </w:p>
    <w:p w14:paraId="1172E32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Čeština plně v souladu s metodikou hodnocení nemůže být důvodem ke snížení hodnotící známky. Pokud se výjimečně úvahy hodnotitele ubírají tímto nesprávným směrem, panelisté se snaží takový pohled eliminovat a konečné hodnocení korigují žádoucím směrem. </w:t>
      </w:r>
    </w:p>
    <w:p w14:paraId="7F809253"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Vyjádření Odborného panelu:</w:t>
      </w:r>
      <w:r w:rsidRPr="00C24D02">
        <w:rPr>
          <w:rFonts w:asciiTheme="minorHAnsi" w:hAnsiTheme="minorHAnsi" w:cstheme="minorHAnsi"/>
          <w:b/>
        </w:rPr>
        <w:t xml:space="preserve"> </w:t>
      </w:r>
      <w:r w:rsidRPr="00C24D02">
        <w:rPr>
          <w:rFonts w:asciiTheme="minorHAnsi" w:hAnsiTheme="minorHAnsi" w:cstheme="minorHAnsi"/>
        </w:rPr>
        <w:t>Panel trvá na hodnocení známkou 3.</w:t>
      </w:r>
    </w:p>
    <w:p w14:paraId="027A677A"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37EB70C0" w14:textId="6588368F"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Hodnocení je procesně v pořádku; odpovídá postupu stanoveném v Metodice 2017+. KHV nicméně navrhuje námitce vyhovět a výstup přehodnotit stupněm 2. Jedná se o v dané disciplíně významný ediční počin, který bude jistě kladně recipován i zahraničními odborníky v oboru slavistiky. Ediční zpracování je specifický žánr, jehož význam spočívá především ve filologické, ne nutně v interpretační expertíze, jež bývá předmětem následných studií. KHV ovšem uznává, že úvodní stať si neklade některé spíše kulturně historické otázky, a proto nemůže být výsledek hodnocen stupněm nejvyšším.</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FDC06A1" w14:textId="77777777" w:rsidTr="003D1A59">
        <w:tc>
          <w:tcPr>
            <w:tcW w:w="2405" w:type="dxa"/>
          </w:tcPr>
          <w:p w14:paraId="5E51452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ED7978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pro jazyk český AV ČR</w:t>
            </w:r>
          </w:p>
        </w:tc>
      </w:tr>
      <w:tr w:rsidR="00317816" w:rsidRPr="00C24D02" w14:paraId="61BE0795" w14:textId="77777777" w:rsidTr="003D1A59">
        <w:tc>
          <w:tcPr>
            <w:tcW w:w="2405" w:type="dxa"/>
          </w:tcPr>
          <w:p w14:paraId="16F7358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4CCD96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192509918</w:t>
            </w:r>
          </w:p>
        </w:tc>
      </w:tr>
      <w:tr w:rsidR="00317816" w:rsidRPr="00C24D02" w14:paraId="252FFA4E" w14:textId="77777777" w:rsidTr="003D1A59">
        <w:trPr>
          <w:trHeight w:val="741"/>
        </w:trPr>
        <w:tc>
          <w:tcPr>
            <w:tcW w:w="2405" w:type="dxa"/>
          </w:tcPr>
          <w:p w14:paraId="5235C8E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46A183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'Slavica' у Филономуса (1587): церковнославянские псалмы в чешской языковой среде</w:t>
            </w:r>
          </w:p>
        </w:tc>
      </w:tr>
      <w:tr w:rsidR="00317816" w:rsidRPr="00C24D02" w14:paraId="3720D174" w14:textId="77777777" w:rsidTr="003D1A59">
        <w:tc>
          <w:tcPr>
            <w:tcW w:w="2405" w:type="dxa"/>
          </w:tcPr>
          <w:p w14:paraId="3CA253C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A750A8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6.2</w:t>
            </w:r>
          </w:p>
        </w:tc>
      </w:tr>
      <w:tr w:rsidR="00317816" w:rsidRPr="00C24D02" w14:paraId="22351126" w14:textId="77777777" w:rsidTr="003D1A59">
        <w:tc>
          <w:tcPr>
            <w:tcW w:w="2405" w:type="dxa"/>
          </w:tcPr>
          <w:p w14:paraId="011019C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61B9711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4C0274A4" w14:textId="77777777" w:rsidTr="003D1A59">
        <w:tc>
          <w:tcPr>
            <w:tcW w:w="2405" w:type="dxa"/>
          </w:tcPr>
          <w:p w14:paraId="68DF92C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73"/>
            </w:r>
            <w:r w:rsidRPr="00C24D02">
              <w:rPr>
                <w:rFonts w:asciiTheme="minorHAnsi" w:eastAsia="Calibri" w:hAnsiTheme="minorHAnsi" w:cstheme="minorHAnsi"/>
              </w:rPr>
              <w:t>)</w:t>
            </w:r>
          </w:p>
        </w:tc>
        <w:tc>
          <w:tcPr>
            <w:tcW w:w="6378" w:type="dxa"/>
          </w:tcPr>
          <w:p w14:paraId="640FC4E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2/3/-/3</w:t>
            </w:r>
          </w:p>
        </w:tc>
      </w:tr>
      <w:tr w:rsidR="00317816" w:rsidRPr="00C24D02" w14:paraId="537F1601" w14:textId="77777777" w:rsidTr="003D1A59">
        <w:tc>
          <w:tcPr>
            <w:tcW w:w="2405" w:type="dxa"/>
          </w:tcPr>
          <w:p w14:paraId="1541886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E1B9711"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4D7C125C" w14:textId="77777777" w:rsidR="00317816" w:rsidRPr="00C24D02" w:rsidRDefault="00317816" w:rsidP="00317816">
      <w:pPr>
        <w:spacing w:after="144" w:line="360" w:lineRule="auto"/>
        <w:rPr>
          <w:rFonts w:asciiTheme="minorHAnsi" w:hAnsiTheme="minorHAnsi" w:cstheme="minorHAnsi"/>
        </w:rPr>
      </w:pPr>
    </w:p>
    <w:p w14:paraId="2BD91FC6"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lastRenderedPageBreak/>
        <w:t>Námitka: Vůči hodnocení</w:t>
      </w:r>
    </w:p>
    <w:p w14:paraId="43A4CC4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43E192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Jeden z hodnotitelů, který výstup ohodnotil známkou 3, komentuje studii slovy: „Jedná se o výstup střední kvality, který na jedné straně originálně zpracovává poměrně zřídka objevující se téma historického aspektu v otázce transkripce češtiny a má tudíž význam pro svůj obor, na druhou stranu však samotný výstup realizovaného výzkumu potvrzuje již dříve prezentované předpoklady, které publikovali jiní slavisté.“ Výtka hodnotitele, že 3 / 3 studie díky detailnímu zpracovaní jazykových dat potvrdila dosud tradované (ale datově nepodložené) hypotézy, jako by naznačovala, že v případě, že by jazyková data dosud tradované hypotézy vyvracela, byla by studie hodnotnější a nikoli „střední kvality“. Takové uvažování považujeme za krajně problematické a velmi nevhodné při posuzování vědeckého přínosu.</w:t>
      </w:r>
    </w:p>
    <w:p w14:paraId="7D58116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Jeden z hodnotitelů, který výstup ohodnotil známkou 3, komentuje studii slovy: „Jedná se o výstup střední kvality, který na jedné straně originálně zpracovává poměrně zřídka objevující se téma historického aspektu v otázce transkripce češtiny a má tudíž význam pro svůj obor, na druhou stranu však samotný výstup realizovaného výzkumu potvrzuje již dříve prezentované předpoklady, které publikovali jiní slavisté.“ Výtka hodnotitele, že studie díky detailnímu zpracovaní jazykových dat potvrdila dosud tradované (ale datově nepodložené) hypotézy, jako by naznačovala, že v případě, že by jazyková data dosud tradované hypotézy vyvracela, byla by studie hodnotnější a nikoli „střední kvality“. Takové uvažování považujeme za krajně problematické a velmi nevhodné při posuzování vědeckého přínosu. </w:t>
      </w:r>
    </w:p>
    <w:p w14:paraId="36A0C8F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Hodnotitel má pravděpodobně na mysli kritérium originality, které samozřejmě může být samo o sobě sporné. Panel při svém výsledném hodnocení nebral v úvahu, že by v případě vyvrácení stávajících hypotéz mohlo být hodnocení vyšší, výsledná známka je založená na kontextu použití dalších hodnotících kritérií. </w:t>
      </w:r>
    </w:p>
    <w:p w14:paraId="514B04F2"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zůstává u svého hodnocení známkou 3.</w:t>
      </w:r>
    </w:p>
    <w:p w14:paraId="4609A7DB"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7B7964A1"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hodnocením známkou 3, která odpovídá hodnotící škále Metodiky 2017+. KHV nicméně zároveň konstatuje, že shrnující hodnocení panelisty je nedostatečně </w:t>
      </w:r>
      <w:r w:rsidRPr="00C24D02">
        <w:rPr>
          <w:rFonts w:asciiTheme="minorHAnsi" w:hAnsiTheme="minorHAnsi" w:cstheme="minorHAnsi"/>
        </w:rPr>
        <w:lastRenderedPageBreak/>
        <w:t>vyargumentované, jen parafrázuje slova jednoho z hodnotitelů, které uzavírá a shrnuje poměrně nešťastně formulovaným závěrem, totiž že „výsledky mají význam pro obor, ale celkově jde o výstup velmi dobré kvality“.</w:t>
      </w:r>
    </w:p>
    <w:p w14:paraId="7B168027" w14:textId="77777777" w:rsidR="00317816" w:rsidRPr="00C24D02" w:rsidRDefault="00317816" w:rsidP="00317816">
      <w:pPr>
        <w:spacing w:before="240" w:after="144" w:line="360" w:lineRule="auto"/>
        <w:jc w:val="both"/>
        <w:rPr>
          <w:rFonts w:asciiTheme="minorHAnsi" w:hAnsiTheme="minorHAnsi" w:cstheme="minorHAnsi"/>
        </w:rPr>
      </w:pP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3B4999F4" w14:textId="77777777" w:rsidTr="003D1A59">
        <w:tc>
          <w:tcPr>
            <w:tcW w:w="2405" w:type="dxa"/>
          </w:tcPr>
          <w:p w14:paraId="293F483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BC1223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pro jazyk český AV ČR</w:t>
            </w:r>
          </w:p>
        </w:tc>
      </w:tr>
      <w:tr w:rsidR="00317816" w:rsidRPr="00C24D02" w14:paraId="0E5DC051" w14:textId="77777777" w:rsidTr="003D1A59">
        <w:tc>
          <w:tcPr>
            <w:tcW w:w="2405" w:type="dxa"/>
          </w:tcPr>
          <w:p w14:paraId="11A3EBB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896057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192509881</w:t>
            </w:r>
          </w:p>
        </w:tc>
      </w:tr>
      <w:tr w:rsidR="00317816" w:rsidRPr="00C24D02" w14:paraId="58F2CE93" w14:textId="77777777" w:rsidTr="003D1A59">
        <w:trPr>
          <w:trHeight w:val="741"/>
        </w:trPr>
        <w:tc>
          <w:tcPr>
            <w:tcW w:w="2405" w:type="dxa"/>
          </w:tcPr>
          <w:p w14:paraId="3DA79B7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20445B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Dialogical networking as a journalistic practice: The case of Czech television news production</w:t>
            </w:r>
          </w:p>
        </w:tc>
      </w:tr>
      <w:tr w:rsidR="00317816" w:rsidRPr="00C24D02" w14:paraId="7CB43E26" w14:textId="77777777" w:rsidTr="003D1A59">
        <w:tc>
          <w:tcPr>
            <w:tcW w:w="2405" w:type="dxa"/>
          </w:tcPr>
          <w:p w14:paraId="75EBC27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090C3C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6.2.</w:t>
            </w:r>
          </w:p>
        </w:tc>
      </w:tr>
      <w:tr w:rsidR="00317816" w:rsidRPr="00C24D02" w14:paraId="477E9F21" w14:textId="77777777" w:rsidTr="003D1A59">
        <w:tc>
          <w:tcPr>
            <w:tcW w:w="2405" w:type="dxa"/>
          </w:tcPr>
          <w:p w14:paraId="29C13E4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57FEB9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2275E626" w14:textId="77777777" w:rsidTr="003D1A59">
        <w:tc>
          <w:tcPr>
            <w:tcW w:w="2405" w:type="dxa"/>
          </w:tcPr>
          <w:p w14:paraId="5FAB9EB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74"/>
            </w:r>
            <w:r w:rsidRPr="00C24D02">
              <w:rPr>
                <w:rFonts w:asciiTheme="minorHAnsi" w:eastAsia="Calibri" w:hAnsiTheme="minorHAnsi" w:cstheme="minorHAnsi"/>
              </w:rPr>
              <w:t>)</w:t>
            </w:r>
          </w:p>
        </w:tc>
        <w:tc>
          <w:tcPr>
            <w:tcW w:w="6378" w:type="dxa"/>
          </w:tcPr>
          <w:p w14:paraId="55F4914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3/2/-/3</w:t>
            </w:r>
          </w:p>
        </w:tc>
      </w:tr>
      <w:tr w:rsidR="00317816" w:rsidRPr="00C24D02" w14:paraId="48DA476F" w14:textId="77777777" w:rsidTr="003D1A59">
        <w:tc>
          <w:tcPr>
            <w:tcW w:w="2405" w:type="dxa"/>
          </w:tcPr>
          <w:p w14:paraId="200B10B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638D9000"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78F35BB1" w14:textId="77777777" w:rsidR="00317816" w:rsidRPr="00C24D02" w:rsidRDefault="00317816" w:rsidP="00317816">
      <w:pPr>
        <w:spacing w:after="144" w:line="360" w:lineRule="auto"/>
        <w:rPr>
          <w:rFonts w:asciiTheme="minorHAnsi" w:hAnsiTheme="minorHAnsi" w:cstheme="minorHAnsi"/>
        </w:rPr>
      </w:pPr>
    </w:p>
    <w:p w14:paraId="2B11847F"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Vůči hodnocení</w:t>
      </w:r>
    </w:p>
    <w:p w14:paraId="5A14C4E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69D246F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Jeden z hodnotitelů, který výstup ohodnotil známkou 2, uvádí: „The work is methodologically careful and sound, although purely qualitative, and case-based. Even though a qualitative approach has been standard in conversation analysis, it compromises somewhat the generalizability of the result.“ Není pravda, že použití kvalitativního přístupu brání náležitému zobecnění výsledků. Studie zobecňuje v kontextu teorie zkoumaného interakčního jevu („dialogical networks“), nikoli v kontextu kvantifikovatelných zjištění. Bohužel v posudcích opakovaně narážíme na předsudky vůči kvalitativnímu výzkumu, které staví na mylném předpokladu o nadřazenosti kvantitativního výzkumu.</w:t>
      </w:r>
    </w:p>
    <w:p w14:paraId="42F9D11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lastRenderedPageBreak/>
        <w:t>Stanovisko garanta</w:t>
      </w:r>
      <w:r w:rsidRPr="00C24D02">
        <w:rPr>
          <w:rFonts w:asciiTheme="minorHAnsi" w:hAnsiTheme="minorHAnsi" w:cstheme="minorHAnsi"/>
        </w:rPr>
        <w:t>: Jeden z hodnotitelů, který výstup ohodnotil známkou 2, uvádí: „The work is methodologically careful and sound, although purely qualitative, and case-based. Even though a qualitative approach has been standard in conversation analysis, it compromises somewhat the generalizability of the result.“ Není pravda, že použití kvalitativního přístupu brání náležitému zobecnění výsledků. Studie zobecňuje v kontextu teorie zkoumaného interakčního jevu („dialogical networks“), nikoli v kontextu kvantifikovatelných zjištění. Bohužel v posudcích opakovaně narážíme na předsudky vůči kvalitativnímu výzkumu, které staví na mylném předpokladu o nadřazenosti kvantitativního výzkumu.</w:t>
      </w:r>
    </w:p>
    <w:p w14:paraId="04D74B4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Použití kvalitativního přístupu opravdu nebrání náležitému zobecnění výsledků. Možné předsudky vůči kvalitativnímu výzkumu postavené na mylném předpokladu o nadřazenosti kvantitativního výzkumu, které se mohou odrazit v konkrétním hodnocení hodnotitele s konkrétními preferencemi a které by mohly ovlivnit hodnocení, se snaží panelisté eliminovat. Výsledné hodnocení je výsledkem takové eliminace. </w:t>
      </w:r>
    </w:p>
    <w:p w14:paraId="526EC5A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zůstává u svého hodnocení známkou 3.</w:t>
      </w:r>
    </w:p>
    <w:p w14:paraId="7EA20EC7"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58B7DE85" w14:textId="35A20C14" w:rsidR="00317816" w:rsidRPr="003C778F"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rPr>
        <w:t xml:space="preserve"> HV souhlasí s ponecháním původního hodnocení, které bylo uděleno podle stávajících pravidel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24C672D" w14:textId="77777777" w:rsidTr="003D1A59">
        <w:tc>
          <w:tcPr>
            <w:tcW w:w="2405" w:type="dxa"/>
          </w:tcPr>
          <w:p w14:paraId="20E07C9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F198D3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výzkumu globální změny AV ČR</w:t>
            </w:r>
          </w:p>
        </w:tc>
      </w:tr>
      <w:tr w:rsidR="00317816" w:rsidRPr="00C24D02" w14:paraId="3A52A0ED" w14:textId="77777777" w:rsidTr="003D1A59">
        <w:tc>
          <w:tcPr>
            <w:tcW w:w="2405" w:type="dxa"/>
          </w:tcPr>
          <w:p w14:paraId="781F198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C22B3A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192499393</w:t>
            </w:r>
          </w:p>
        </w:tc>
      </w:tr>
      <w:tr w:rsidR="00317816" w:rsidRPr="00C24D02" w14:paraId="04003223" w14:textId="77777777" w:rsidTr="003D1A59">
        <w:trPr>
          <w:trHeight w:val="741"/>
        </w:trPr>
        <w:tc>
          <w:tcPr>
            <w:tcW w:w="2405" w:type="dxa"/>
          </w:tcPr>
          <w:p w14:paraId="0EF471B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2BBA6F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Metodika pro rychlé, komplexní, nezávislé rozhodování o potřebnosti, efektivitě a interakci adaptačních opatření v povodích v podmínkách změny klimatu</w:t>
            </w:r>
          </w:p>
        </w:tc>
      </w:tr>
      <w:tr w:rsidR="00317816" w:rsidRPr="00C24D02" w14:paraId="32343272" w14:textId="77777777" w:rsidTr="003D1A59">
        <w:tc>
          <w:tcPr>
            <w:tcW w:w="2405" w:type="dxa"/>
          </w:tcPr>
          <w:p w14:paraId="1690203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2318E7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1.5</w:t>
            </w:r>
          </w:p>
        </w:tc>
      </w:tr>
      <w:tr w:rsidR="00317816" w:rsidRPr="00C24D02" w14:paraId="755A2750" w14:textId="77777777" w:rsidTr="003D1A59">
        <w:tc>
          <w:tcPr>
            <w:tcW w:w="2405" w:type="dxa"/>
          </w:tcPr>
          <w:p w14:paraId="177FFB8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3E077A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161A3032" w14:textId="77777777" w:rsidTr="003D1A59">
        <w:tc>
          <w:tcPr>
            <w:tcW w:w="2405" w:type="dxa"/>
          </w:tcPr>
          <w:p w14:paraId="1EA3216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75"/>
            </w:r>
            <w:r w:rsidRPr="00C24D02">
              <w:rPr>
                <w:rFonts w:asciiTheme="minorHAnsi" w:eastAsia="Calibri" w:hAnsiTheme="minorHAnsi" w:cstheme="minorHAnsi"/>
              </w:rPr>
              <w:t>)</w:t>
            </w:r>
          </w:p>
        </w:tc>
        <w:tc>
          <w:tcPr>
            <w:tcW w:w="6378" w:type="dxa"/>
          </w:tcPr>
          <w:p w14:paraId="7344165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4/1/2/2</w:t>
            </w:r>
          </w:p>
        </w:tc>
      </w:tr>
      <w:tr w:rsidR="00317816" w:rsidRPr="00C24D02" w14:paraId="0C9FCBB8" w14:textId="77777777" w:rsidTr="003D1A59">
        <w:tc>
          <w:tcPr>
            <w:tcW w:w="2405" w:type="dxa"/>
          </w:tcPr>
          <w:p w14:paraId="05B7BC5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Návrh rozhodnutí Rady</w:t>
            </w:r>
          </w:p>
        </w:tc>
        <w:tc>
          <w:tcPr>
            <w:tcW w:w="6378" w:type="dxa"/>
          </w:tcPr>
          <w:p w14:paraId="74C03435"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2.</w:t>
            </w:r>
          </w:p>
        </w:tc>
      </w:tr>
    </w:tbl>
    <w:p w14:paraId="69570C10" w14:textId="77777777" w:rsidR="00317816" w:rsidRPr="00C24D02" w:rsidRDefault="00317816" w:rsidP="00317816">
      <w:pPr>
        <w:spacing w:after="144" w:line="360" w:lineRule="auto"/>
        <w:rPr>
          <w:rFonts w:asciiTheme="minorHAnsi" w:hAnsiTheme="minorHAnsi" w:cstheme="minorHAnsi"/>
        </w:rPr>
      </w:pPr>
    </w:p>
    <w:p w14:paraId="4B76A0D2"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Posudky</w:t>
      </w:r>
    </w:p>
    <w:p w14:paraId="21047E6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472987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Panelista garant výslovně uvádí </w:t>
      </w:r>
      <w:r w:rsidRPr="00C24D02">
        <w:rPr>
          <w:rFonts w:asciiTheme="minorHAnsi" w:hAnsiTheme="minorHAnsi" w:cstheme="minorHAnsi"/>
          <w:b/>
          <w:bCs/>
        </w:rPr>
        <w:t xml:space="preserve">certifikaci MZe </w:t>
      </w:r>
      <w:r w:rsidRPr="00C24D02">
        <w:rPr>
          <w:rFonts w:asciiTheme="minorHAnsi" w:hAnsiTheme="minorHAnsi" w:cstheme="minorHAnsi"/>
        </w:rPr>
        <w:t xml:space="preserve">a </w:t>
      </w:r>
      <w:r w:rsidRPr="00C24D02">
        <w:rPr>
          <w:rFonts w:asciiTheme="minorHAnsi" w:hAnsiTheme="minorHAnsi" w:cstheme="minorHAnsi"/>
          <w:b/>
          <w:bCs/>
        </w:rPr>
        <w:t xml:space="preserve">smluvní uplatnění </w:t>
      </w:r>
      <w:r w:rsidRPr="00C24D02">
        <w:rPr>
          <w:rFonts w:asciiTheme="minorHAnsi" w:hAnsiTheme="minorHAnsi" w:cstheme="minorHAnsi"/>
        </w:rPr>
        <w:t xml:space="preserve">(Povodí Moravy, s. p.), včetně </w:t>
      </w:r>
      <w:r w:rsidRPr="00C24D02">
        <w:rPr>
          <w:rFonts w:asciiTheme="minorHAnsi" w:hAnsiTheme="minorHAnsi" w:cstheme="minorHAnsi"/>
          <w:b/>
          <w:bCs/>
        </w:rPr>
        <w:t xml:space="preserve">strategického významu </w:t>
      </w:r>
      <w:r w:rsidRPr="00C24D02">
        <w:rPr>
          <w:rFonts w:asciiTheme="minorHAnsi" w:hAnsiTheme="minorHAnsi" w:cstheme="minorHAnsi"/>
        </w:rPr>
        <w:t xml:space="preserve">(CMIP6, MIKE SHE, Dyje). Posudek se známkou 4 (ostatní dva posudky navrhovaly za 1 a za 2 a dále panelista garant navrhl finální známku 2) je očividně zaujaty, přehlíží bezprecedentnost vyvinutého nástroje využívajícího nejnovější poznatky předkládajícího pracoviště, ale požaduje </w:t>
      </w:r>
      <w:r w:rsidRPr="00C24D02">
        <w:rPr>
          <w:rFonts w:asciiTheme="minorHAnsi" w:hAnsiTheme="minorHAnsi" w:cstheme="minorHAnsi"/>
          <w:b/>
          <w:bCs/>
        </w:rPr>
        <w:t xml:space="preserve">kvantifikaci nejistot, což </w:t>
      </w:r>
      <w:r w:rsidRPr="00C24D02">
        <w:rPr>
          <w:rFonts w:asciiTheme="minorHAnsi" w:hAnsiTheme="minorHAnsi" w:cstheme="minorHAnsi"/>
        </w:rPr>
        <w:t xml:space="preserve">je </w:t>
      </w:r>
      <w:r w:rsidRPr="00C24D02">
        <w:rPr>
          <w:rFonts w:asciiTheme="minorHAnsi" w:hAnsiTheme="minorHAnsi" w:cstheme="minorHAnsi"/>
          <w:b/>
          <w:bCs/>
        </w:rPr>
        <w:t>doporučení pro další možný rozvoj</w:t>
      </w:r>
      <w:r w:rsidRPr="00C24D02">
        <w:rPr>
          <w:rFonts w:asciiTheme="minorHAnsi" w:hAnsiTheme="minorHAnsi" w:cstheme="minorHAnsi"/>
        </w:rPr>
        <w:t xml:space="preserve">, nikoli důvod snižovat hodnoceni u výsledku s </w:t>
      </w:r>
      <w:r w:rsidRPr="00C24D02">
        <w:rPr>
          <w:rFonts w:asciiTheme="minorHAnsi" w:hAnsiTheme="minorHAnsi" w:cstheme="minorHAnsi"/>
          <w:b/>
          <w:bCs/>
        </w:rPr>
        <w:t>prokázaným významným dopadem ve veřejném zájmu v souvislosti s realizací adaptačních opatření proti narůstajícímu deficitu vláhy</w:t>
      </w:r>
      <w:r w:rsidRPr="00C24D02">
        <w:rPr>
          <w:rFonts w:asciiTheme="minorHAnsi" w:hAnsiTheme="minorHAnsi" w:cstheme="minorHAnsi"/>
        </w:rPr>
        <w:t xml:space="preserve">. Mezinárodni relevanci lze doložit citaci z jednoho z posudků: „Přímé uplatněni metodiky v národní správě (např. v mezinárodni studii o možném propojeni Dyje a Dunaje) ukazuje její strategicky význam. Vystup je rovněž v souladu s evropskými klimatickými politikami a národní adaptační strategii. Metodika má prakticky dopad a předpoklad širšího využiti – nejen v ČR, ale i v, mezinárodních kontextech.“ V samotném nominačním návrhu je pak vyzdvihnuty zájem o metodickou spolupráci rakouských subjektů. Navrhujeme </w:t>
      </w:r>
      <w:r w:rsidRPr="00C24D02">
        <w:rPr>
          <w:rFonts w:asciiTheme="minorHAnsi" w:hAnsiTheme="minorHAnsi" w:cstheme="minorHAnsi"/>
          <w:b/>
          <w:bCs/>
        </w:rPr>
        <w:t>1</w:t>
      </w:r>
      <w:r w:rsidRPr="00C24D02">
        <w:rPr>
          <w:rFonts w:asciiTheme="minorHAnsi" w:hAnsiTheme="minorHAnsi" w:cstheme="minorHAnsi"/>
        </w:rPr>
        <w:t>.</w:t>
      </w:r>
    </w:p>
    <w:p w14:paraId="7B4F5BD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Předložená certifikovaná metodika představuje významný a v praxi již ověřený nástroj pro hodnocení účinnosti adaptačních opatření na vodní bilanci povodí v podmínkách klimatické změny. Je založena na pokročilém hydrologickém modelování (MIKE SHE), využívá aktuální scénáře CMIP6 a její relevance je doložena jak certifikací Ministerstva zemědělství, tak smluvním uplatněním v Povodí Moravy, s. p. Metodika má významný dopad na veřejný sektor – přispívá ke strategickému plánování vodních zdrojů, je v souladu s národní adaptační strategií a nachází uplatnění v klíčových rozhodovacích procesech státu, včetně mezinárodní studie o možném propojení Dyje a Dunaje. Panel uznává mezinárodní přesah metodiky a zájem zahraničních subjektů; tyto skutečnosti však zatím nenaplňují požadavek škály M17+ pro udělení stupně 1, který vyžaduje reálný předpoklad a doložení zásadní změny s mimořádným mezinárodním dopadem a širokým uplatněním na mezinárodní úrovni. </w:t>
      </w:r>
      <w:r w:rsidRPr="00C24D02">
        <w:rPr>
          <w:rFonts w:asciiTheme="minorHAnsi" w:hAnsiTheme="minorHAnsi" w:cstheme="minorHAnsi"/>
        </w:rPr>
        <w:lastRenderedPageBreak/>
        <w:t>Připomínka týkající se kvantifikace nejistot je vnímána jako doporučení pro další rozvoj, nikoli jako deficit limitující současný společenský dopad. V celkovém souhrnu metodika jednoznačně naplňuje kritéria vynikající společenské relevance (excellent) a panel proto potvrzuje výslednou známku 2.</w:t>
      </w:r>
    </w:p>
    <w:p w14:paraId="2E839F80"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2.</w:t>
      </w:r>
    </w:p>
    <w:p w14:paraId="0A8ABB28"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726D16CC" w14:textId="24B625F9" w:rsidR="00317816" w:rsidRPr="00C24D02"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Panelista správně požádal o třetí nezávislý posudek a ve svém závěru hodnocení se známkou 4 nevzal v úvahu, jelikož text tohoto hodnocení neodpovídá udělené známce. Výsledná známka je panelistou náležitě zdůvodněna.</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307A4C2" w14:textId="77777777" w:rsidTr="003D1A59">
        <w:tc>
          <w:tcPr>
            <w:tcW w:w="2405" w:type="dxa"/>
          </w:tcPr>
          <w:p w14:paraId="5E10808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3A1E9A0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výzkumu globální změny AV ČR</w:t>
            </w:r>
          </w:p>
        </w:tc>
      </w:tr>
      <w:tr w:rsidR="00317816" w:rsidRPr="00C24D02" w14:paraId="56C329CF" w14:textId="77777777" w:rsidTr="003D1A59">
        <w:tc>
          <w:tcPr>
            <w:tcW w:w="2405" w:type="dxa"/>
          </w:tcPr>
          <w:p w14:paraId="1748726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158CD2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192504487</w:t>
            </w:r>
          </w:p>
        </w:tc>
      </w:tr>
      <w:tr w:rsidR="00317816" w:rsidRPr="00C24D02" w14:paraId="57779F65" w14:textId="77777777" w:rsidTr="003D1A59">
        <w:trPr>
          <w:trHeight w:val="741"/>
        </w:trPr>
        <w:tc>
          <w:tcPr>
            <w:tcW w:w="2405" w:type="dxa"/>
          </w:tcPr>
          <w:p w14:paraId="1827BF7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47E92D3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Estimation of photosynthetic dynamics in forests from daily measured fluorescence and PRI data with adjustment for canopy shadow fraction</w:t>
            </w:r>
          </w:p>
        </w:tc>
      </w:tr>
      <w:tr w:rsidR="00317816" w:rsidRPr="00C24D02" w14:paraId="7691D8F7" w14:textId="77777777" w:rsidTr="003D1A59">
        <w:tc>
          <w:tcPr>
            <w:tcW w:w="2405" w:type="dxa"/>
          </w:tcPr>
          <w:p w14:paraId="232AC36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A980F5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317816" w:rsidRPr="00C24D02" w14:paraId="3BCCBD0C" w14:textId="77777777" w:rsidTr="003D1A59">
        <w:tc>
          <w:tcPr>
            <w:tcW w:w="2405" w:type="dxa"/>
          </w:tcPr>
          <w:p w14:paraId="543D83C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56F623E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1EAEA672" w14:textId="77777777" w:rsidTr="003D1A59">
        <w:tc>
          <w:tcPr>
            <w:tcW w:w="2405" w:type="dxa"/>
          </w:tcPr>
          <w:p w14:paraId="387D448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76"/>
            </w:r>
            <w:r w:rsidRPr="00C24D02">
              <w:rPr>
                <w:rFonts w:asciiTheme="minorHAnsi" w:eastAsia="Calibri" w:hAnsiTheme="minorHAnsi" w:cstheme="minorHAnsi"/>
              </w:rPr>
              <w:t>)</w:t>
            </w:r>
          </w:p>
        </w:tc>
        <w:tc>
          <w:tcPr>
            <w:tcW w:w="6378" w:type="dxa"/>
          </w:tcPr>
          <w:p w14:paraId="38BBFB9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2/2/-/2</w:t>
            </w:r>
          </w:p>
        </w:tc>
      </w:tr>
      <w:tr w:rsidR="00317816" w:rsidRPr="00C24D02" w14:paraId="4E789E81" w14:textId="77777777" w:rsidTr="003D1A59">
        <w:tc>
          <w:tcPr>
            <w:tcW w:w="2405" w:type="dxa"/>
          </w:tcPr>
          <w:p w14:paraId="2D3422C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42805F0"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2.</w:t>
            </w:r>
          </w:p>
        </w:tc>
      </w:tr>
    </w:tbl>
    <w:p w14:paraId="04659E4C" w14:textId="77777777" w:rsidR="00317816" w:rsidRPr="00C24D02" w:rsidRDefault="00317816" w:rsidP="00317816">
      <w:pPr>
        <w:spacing w:after="144" w:line="360" w:lineRule="auto"/>
        <w:rPr>
          <w:rFonts w:asciiTheme="minorHAnsi" w:hAnsiTheme="minorHAnsi" w:cstheme="minorHAnsi"/>
        </w:rPr>
      </w:pPr>
    </w:p>
    <w:p w14:paraId="49767E82"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Posudky</w:t>
      </w:r>
    </w:p>
    <w:p w14:paraId="61E0243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6ED9DD1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Odůvodnění námitky: Oba posudky i panelista garant hodnotí práci jako vynikající a zdůrazňují algoritmy využitelné pro misi ESA FLEX i korekci vlivu porostního stínu na vztahy PRI/SIF– GPP/LUE na unikátním více sezónním datasetu. Parametry originality a významu naplňují excelentní úroveň a posudky nepoukazují na žádný nedostatek, který by odůvodňoval zařazení na nižší druhý stupeň hodnocení. Žádáme přeřazení na 1.</w:t>
      </w:r>
    </w:p>
    <w:p w14:paraId="3702D0E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Panel považuje hodnocení od obou oponentů za adekvátní. Proto je finální známka 2.</w:t>
      </w:r>
    </w:p>
    <w:p w14:paraId="021443C0"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2.</w:t>
      </w:r>
    </w:p>
    <w:p w14:paraId="5E77C177"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17B876F5" w14:textId="7ADB789A" w:rsidR="00317816" w:rsidRPr="00C24D02"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Metodiky 2017+. Hodnocení „vynikající“ odpovídá dle M17+ známce 2, panelista tedy správně udělil toto hodnocení, které bylo navrženo i oběma hodnotiteli.</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E710461" w14:textId="77777777" w:rsidTr="003D1A59">
        <w:tc>
          <w:tcPr>
            <w:tcW w:w="2405" w:type="dxa"/>
          </w:tcPr>
          <w:p w14:paraId="1AB85D1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DD7E4C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výzkumu globální změny AV ČR</w:t>
            </w:r>
          </w:p>
        </w:tc>
      </w:tr>
      <w:tr w:rsidR="00317816" w:rsidRPr="00C24D02" w14:paraId="33A54226" w14:textId="77777777" w:rsidTr="003D1A59">
        <w:tc>
          <w:tcPr>
            <w:tcW w:w="2405" w:type="dxa"/>
          </w:tcPr>
          <w:p w14:paraId="60C1E5C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998529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192504400</w:t>
            </w:r>
          </w:p>
        </w:tc>
      </w:tr>
      <w:tr w:rsidR="00317816" w:rsidRPr="00C24D02" w14:paraId="7CA5FC2E" w14:textId="77777777" w:rsidTr="003D1A59">
        <w:trPr>
          <w:trHeight w:val="741"/>
        </w:trPr>
        <w:tc>
          <w:tcPr>
            <w:tcW w:w="2405" w:type="dxa"/>
          </w:tcPr>
          <w:p w14:paraId="65E776B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BC2D65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Methane emission from stems of European beech (Fagus sylvatica) offsets as much as half of methane oxidation in soil</w:t>
            </w:r>
          </w:p>
        </w:tc>
      </w:tr>
      <w:tr w:rsidR="00317816" w:rsidRPr="00C24D02" w14:paraId="0B0F8C08" w14:textId="77777777" w:rsidTr="003D1A59">
        <w:tc>
          <w:tcPr>
            <w:tcW w:w="2405" w:type="dxa"/>
          </w:tcPr>
          <w:p w14:paraId="06C867A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13C22C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317816" w:rsidRPr="00C24D02" w14:paraId="75FCC49B" w14:textId="77777777" w:rsidTr="003D1A59">
        <w:tc>
          <w:tcPr>
            <w:tcW w:w="2405" w:type="dxa"/>
          </w:tcPr>
          <w:p w14:paraId="6E7BD0E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1F0AA23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66CF5565" w14:textId="77777777" w:rsidTr="003D1A59">
        <w:tc>
          <w:tcPr>
            <w:tcW w:w="2405" w:type="dxa"/>
          </w:tcPr>
          <w:p w14:paraId="7D0F5ED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77"/>
            </w:r>
            <w:r w:rsidRPr="00C24D02">
              <w:rPr>
                <w:rFonts w:asciiTheme="minorHAnsi" w:eastAsia="Calibri" w:hAnsiTheme="minorHAnsi" w:cstheme="minorHAnsi"/>
              </w:rPr>
              <w:t>)</w:t>
            </w:r>
          </w:p>
        </w:tc>
        <w:tc>
          <w:tcPr>
            <w:tcW w:w="6378" w:type="dxa"/>
          </w:tcPr>
          <w:p w14:paraId="51B6A47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1/2/-/2</w:t>
            </w:r>
          </w:p>
        </w:tc>
      </w:tr>
      <w:tr w:rsidR="00317816" w:rsidRPr="00C24D02" w14:paraId="4EE8D7C7" w14:textId="77777777" w:rsidTr="003D1A59">
        <w:tc>
          <w:tcPr>
            <w:tcW w:w="2405" w:type="dxa"/>
          </w:tcPr>
          <w:p w14:paraId="3B0BF56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4D372D2"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2.</w:t>
            </w:r>
          </w:p>
        </w:tc>
      </w:tr>
    </w:tbl>
    <w:p w14:paraId="55AABFF0" w14:textId="77777777" w:rsidR="00317816" w:rsidRPr="00C24D02" w:rsidRDefault="00317816" w:rsidP="00317816">
      <w:pPr>
        <w:spacing w:after="144" w:line="360" w:lineRule="auto"/>
        <w:rPr>
          <w:rFonts w:asciiTheme="minorHAnsi" w:hAnsiTheme="minorHAnsi" w:cstheme="minorHAnsi"/>
        </w:rPr>
      </w:pPr>
    </w:p>
    <w:p w14:paraId="1292417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Posudky</w:t>
      </w:r>
    </w:p>
    <w:p w14:paraId="0FE54B1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lastRenderedPageBreak/>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6A7D9BC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Hodnocení posudků je 1 a 2</w:t>
      </w:r>
      <w:r w:rsidRPr="00C24D02">
        <w:rPr>
          <w:rFonts w:asciiTheme="minorHAnsi" w:hAnsiTheme="minorHAnsi" w:cstheme="minorHAnsi"/>
        </w:rPr>
        <w:t xml:space="preserve">; panelista garant voli 2. Oba posudky přitom potvrzuji </w:t>
      </w:r>
      <w:r w:rsidRPr="00C24D02">
        <w:rPr>
          <w:rFonts w:asciiTheme="minorHAnsi" w:hAnsiTheme="minorHAnsi" w:cstheme="minorHAnsi"/>
          <w:b/>
          <w:bCs/>
        </w:rPr>
        <w:t xml:space="preserve">průlomový charakter </w:t>
      </w:r>
      <w:r w:rsidRPr="00C24D02">
        <w:rPr>
          <w:rFonts w:asciiTheme="minorHAnsi" w:hAnsiTheme="minorHAnsi" w:cstheme="minorHAnsi"/>
        </w:rPr>
        <w:t xml:space="preserve">(kmenové emise CH₄ </w:t>
      </w:r>
      <w:r w:rsidRPr="00C24D02">
        <w:rPr>
          <w:rFonts w:asciiTheme="minorHAnsi" w:hAnsiTheme="minorHAnsi" w:cstheme="minorHAnsi"/>
          <w:b/>
          <w:bCs/>
        </w:rPr>
        <w:t xml:space="preserve">kompenzují až polovinu </w:t>
      </w:r>
      <w:r w:rsidRPr="00C24D02">
        <w:rPr>
          <w:rFonts w:asciiTheme="minorHAnsi" w:hAnsiTheme="minorHAnsi" w:cstheme="minorHAnsi"/>
        </w:rPr>
        <w:t xml:space="preserve">půdní oxidace; dopad na </w:t>
      </w:r>
      <w:r w:rsidRPr="00C24D02">
        <w:rPr>
          <w:rFonts w:asciiTheme="minorHAnsi" w:hAnsiTheme="minorHAnsi" w:cstheme="minorHAnsi"/>
          <w:b/>
          <w:bCs/>
        </w:rPr>
        <w:t>inventarizační modely</w:t>
      </w:r>
      <w:r w:rsidRPr="00C24D02">
        <w:rPr>
          <w:rFonts w:asciiTheme="minorHAnsi" w:hAnsiTheme="minorHAnsi" w:cstheme="minorHAnsi"/>
        </w:rPr>
        <w:t xml:space="preserve">). Výtka „měřit déle (1 rok)“ je </w:t>
      </w:r>
      <w:r w:rsidRPr="00C24D02">
        <w:rPr>
          <w:rFonts w:asciiTheme="minorHAnsi" w:hAnsiTheme="minorHAnsi" w:cstheme="minorHAnsi"/>
          <w:b/>
          <w:bCs/>
        </w:rPr>
        <w:t>typickou obecnou radou</w:t>
      </w:r>
      <w:r w:rsidRPr="00C24D02">
        <w:rPr>
          <w:rFonts w:asciiTheme="minorHAnsi" w:hAnsiTheme="minorHAnsi" w:cstheme="minorHAnsi"/>
        </w:rPr>
        <w:t xml:space="preserve">, nikoli vadou kvality. Argumentace panelisty garanta neobsahuje žádný </w:t>
      </w:r>
      <w:r w:rsidRPr="00C24D02">
        <w:rPr>
          <w:rFonts w:asciiTheme="minorHAnsi" w:hAnsiTheme="minorHAnsi" w:cstheme="minorHAnsi"/>
          <w:b/>
          <w:bCs/>
        </w:rPr>
        <w:t xml:space="preserve">negativní aspekt </w:t>
      </w:r>
      <w:r w:rsidRPr="00C24D02">
        <w:rPr>
          <w:rFonts w:asciiTheme="minorHAnsi" w:hAnsiTheme="minorHAnsi" w:cstheme="minorHAnsi"/>
        </w:rPr>
        <w:t xml:space="preserve">kvality, přesto ponechává 2 – navrhujeme </w:t>
      </w:r>
      <w:r w:rsidRPr="00C24D02">
        <w:rPr>
          <w:rFonts w:asciiTheme="minorHAnsi" w:hAnsiTheme="minorHAnsi" w:cstheme="minorHAnsi"/>
          <w:b/>
          <w:bCs/>
        </w:rPr>
        <w:t>1</w:t>
      </w:r>
      <w:r w:rsidRPr="00C24D02">
        <w:rPr>
          <w:rFonts w:asciiTheme="minorHAnsi" w:hAnsiTheme="minorHAnsi" w:cstheme="minorHAnsi"/>
        </w:rPr>
        <w:t>.</w:t>
      </w:r>
    </w:p>
    <w:p w14:paraId="6FCECC0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Z hlediska obtížnosti získání dat (jednoletá studie) se nejedná o náročný projekt. Zároveň nejde ani o zásadní průlom v oboru. Proto je výsledná známka 2 adekvátní.</w:t>
      </w:r>
    </w:p>
    <w:p w14:paraId="6B763076"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2.</w:t>
      </w:r>
    </w:p>
    <w:p w14:paraId="302E0BE4"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790237DD" w14:textId="50AEA029" w:rsidR="00317816" w:rsidRPr="00C24D02"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040993A5" w14:textId="77777777" w:rsidTr="003D1A59">
        <w:tc>
          <w:tcPr>
            <w:tcW w:w="2405" w:type="dxa"/>
          </w:tcPr>
          <w:p w14:paraId="65261D1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02369BF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výzkumu globální změny AV ČR</w:t>
            </w:r>
          </w:p>
        </w:tc>
      </w:tr>
      <w:tr w:rsidR="00317816" w:rsidRPr="00C24D02" w14:paraId="298ED8F8" w14:textId="77777777" w:rsidTr="003D1A59">
        <w:tc>
          <w:tcPr>
            <w:tcW w:w="2405" w:type="dxa"/>
          </w:tcPr>
          <w:p w14:paraId="7E71D6A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04531A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192504434</w:t>
            </w:r>
          </w:p>
        </w:tc>
      </w:tr>
      <w:tr w:rsidR="00317816" w:rsidRPr="00C24D02" w14:paraId="1ED64EA3" w14:textId="77777777" w:rsidTr="003D1A59">
        <w:trPr>
          <w:trHeight w:val="741"/>
        </w:trPr>
        <w:tc>
          <w:tcPr>
            <w:tcW w:w="2405" w:type="dxa"/>
          </w:tcPr>
          <w:p w14:paraId="68265AF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27C8A6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Different approaches to explore the impact of COVID-19 lockdowns on carbonaceous aerosols at a European rural background site</w:t>
            </w:r>
          </w:p>
        </w:tc>
      </w:tr>
      <w:tr w:rsidR="00317816" w:rsidRPr="00C24D02" w14:paraId="07AF3670" w14:textId="77777777" w:rsidTr="003D1A59">
        <w:tc>
          <w:tcPr>
            <w:tcW w:w="2405" w:type="dxa"/>
          </w:tcPr>
          <w:p w14:paraId="1E93860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C8A7B7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1.5</w:t>
            </w:r>
          </w:p>
        </w:tc>
      </w:tr>
      <w:tr w:rsidR="00317816" w:rsidRPr="00C24D02" w14:paraId="0E3C66B1" w14:textId="77777777" w:rsidTr="003D1A59">
        <w:tc>
          <w:tcPr>
            <w:tcW w:w="2405" w:type="dxa"/>
          </w:tcPr>
          <w:p w14:paraId="67C80E9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0E5E2D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4B94027B" w14:textId="77777777" w:rsidTr="003D1A59">
        <w:tc>
          <w:tcPr>
            <w:tcW w:w="2405" w:type="dxa"/>
          </w:tcPr>
          <w:p w14:paraId="3E3C4F3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78"/>
            </w:r>
            <w:r w:rsidRPr="00C24D02">
              <w:rPr>
                <w:rFonts w:asciiTheme="minorHAnsi" w:eastAsia="Calibri" w:hAnsiTheme="minorHAnsi" w:cstheme="minorHAnsi"/>
              </w:rPr>
              <w:t>)</w:t>
            </w:r>
          </w:p>
        </w:tc>
        <w:tc>
          <w:tcPr>
            <w:tcW w:w="6378" w:type="dxa"/>
          </w:tcPr>
          <w:p w14:paraId="2AB70DA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3/1/1/2</w:t>
            </w:r>
          </w:p>
        </w:tc>
      </w:tr>
      <w:tr w:rsidR="00317816" w:rsidRPr="00C24D02" w14:paraId="4AC5B737" w14:textId="77777777" w:rsidTr="003D1A59">
        <w:tc>
          <w:tcPr>
            <w:tcW w:w="2405" w:type="dxa"/>
          </w:tcPr>
          <w:p w14:paraId="08300CB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6648EC4"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2.</w:t>
            </w:r>
          </w:p>
        </w:tc>
      </w:tr>
    </w:tbl>
    <w:p w14:paraId="1E1293CC" w14:textId="77777777" w:rsidR="00317816" w:rsidRPr="00C24D02" w:rsidRDefault="00317816" w:rsidP="00317816">
      <w:pPr>
        <w:spacing w:after="144" w:line="360" w:lineRule="auto"/>
        <w:rPr>
          <w:rFonts w:asciiTheme="minorHAnsi" w:hAnsiTheme="minorHAnsi" w:cstheme="minorHAnsi"/>
        </w:rPr>
      </w:pPr>
    </w:p>
    <w:p w14:paraId="49BCB248"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lastRenderedPageBreak/>
        <w:t>Námitka: Posudky</w:t>
      </w:r>
    </w:p>
    <w:p w14:paraId="67103E5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75343C5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Dva posudky 1 (světová originalita: vertikální profilace 4 m vs. 230 m, dopad na politiky kvality ovzduší); třetí posudek 3 obsahuje fakticky sporná tvrzení a zcela se odchyluje od ostatních posudků. Panelista garant shrnuje význam na úrovni 2. Vzhledem ke konsenzu dvou recenzentů a jedinečnosti infrastruktury (NAOK/ACTRIS-CZ) žádáme přeřazení na 1.</w:t>
      </w:r>
    </w:p>
    <w:p w14:paraId="6FFB99F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Odborný panel se podrobně zabýval všemi třemi posudky, argumentací předkladatelů i skutečným obsahem výsledku, včetně unikátních vertikálních a prokázaného vlivu lockdownů na vertikální distribuci uhlíkatých aerosolů. Dva posudky identifikují významnou originalitu, zejména v kombinaci horizontálního a vertikálního přístupu, ve využití výškové infrastruktury, a v odhalených rozdílech mezi přízemní a vyšší vrstvou atmosféry během lockdownů. Jeden dokládá také mezinárodní ohlas a praktický dopad na politiku kvality ovzduší. Panel konstatuje, že tato část posudků jednoznačně potvrzuje vysokou úroveň přínosu. Současně však panel přihlédl i k posudku oponenta, který upozorňuje na limity zobecnitelnosti některých závěrů a omezený potenciál výsledku formulovat obecnou hypotézu o globálním vlivu lockdownů na aerosoly. Tyto výhrady objektivně ukazují, že výsledek není bezvýhradně průlomový ve smyslu definice známky 1 (světově výjimečný, zásadní posun poznání). Po zvážení všech tří posudků, textu odvolání, odborného odůvodnění panelisty-garanta a charakteristiky škály hodnocení panel uzavírá, že výsledek jednoznačně přesahuje standardní mezinárodní úroveň, vykazuje významnou originalitu, excelentní využití výzkumné infrastruktury a jasný dopad na interpretaci lockdownových opatření, avšak nenaplňuje všechny parametry nezpochybnitelné světové výjimečnosti požadované pro známku 1. Výsledek proto zůstává hodnocen známkou 2 – vynikající přínos k poznání.</w:t>
      </w:r>
    </w:p>
    <w:p w14:paraId="224D7F3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2.</w:t>
      </w:r>
    </w:p>
    <w:p w14:paraId="1215C0D7"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279A5FC2" w14:textId="5643143E"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EED6B4C" w14:textId="77777777" w:rsidTr="003D1A59">
        <w:tc>
          <w:tcPr>
            <w:tcW w:w="2405" w:type="dxa"/>
          </w:tcPr>
          <w:p w14:paraId="68586799" w14:textId="77777777" w:rsidR="00317816" w:rsidRPr="00C24D02" w:rsidRDefault="00317816" w:rsidP="003D1A59">
            <w:pPr>
              <w:spacing w:after="144" w:line="360" w:lineRule="auto"/>
              <w:rPr>
                <w:rFonts w:asciiTheme="minorHAnsi" w:eastAsia="Calibri" w:hAnsiTheme="minorHAnsi" w:cstheme="minorHAnsi"/>
              </w:rPr>
            </w:pPr>
          </w:p>
          <w:p w14:paraId="228B356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18D25B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výzkumu globální změny AV ČR</w:t>
            </w:r>
          </w:p>
        </w:tc>
      </w:tr>
      <w:tr w:rsidR="00317816" w:rsidRPr="00C24D02" w14:paraId="12A36740" w14:textId="77777777" w:rsidTr="003D1A59">
        <w:tc>
          <w:tcPr>
            <w:tcW w:w="2405" w:type="dxa"/>
          </w:tcPr>
          <w:p w14:paraId="653A1FD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1E393A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192499386</w:t>
            </w:r>
          </w:p>
        </w:tc>
      </w:tr>
      <w:tr w:rsidR="00317816" w:rsidRPr="00C24D02" w14:paraId="07A2FA8F" w14:textId="77777777" w:rsidTr="003D1A59">
        <w:trPr>
          <w:trHeight w:val="741"/>
        </w:trPr>
        <w:tc>
          <w:tcPr>
            <w:tcW w:w="2405" w:type="dxa"/>
          </w:tcPr>
          <w:p w14:paraId="21BCBAF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05DC03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Climate-induced decline in the quality and quantity of European hops calls for immediate adaptation measures</w:t>
            </w:r>
          </w:p>
        </w:tc>
      </w:tr>
      <w:tr w:rsidR="00317816" w:rsidRPr="00C24D02" w14:paraId="2BC95BEF" w14:textId="77777777" w:rsidTr="003D1A59">
        <w:tc>
          <w:tcPr>
            <w:tcW w:w="2405" w:type="dxa"/>
          </w:tcPr>
          <w:p w14:paraId="127302D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14193A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4.1</w:t>
            </w:r>
          </w:p>
        </w:tc>
      </w:tr>
      <w:tr w:rsidR="00317816" w:rsidRPr="00C24D02" w14:paraId="3FEB33A4" w14:textId="77777777" w:rsidTr="003D1A59">
        <w:tc>
          <w:tcPr>
            <w:tcW w:w="2405" w:type="dxa"/>
          </w:tcPr>
          <w:p w14:paraId="66D8AE7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1AB33B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745FBE53" w14:textId="77777777" w:rsidTr="003D1A59">
        <w:tc>
          <w:tcPr>
            <w:tcW w:w="2405" w:type="dxa"/>
          </w:tcPr>
          <w:p w14:paraId="3D28FDB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79"/>
            </w:r>
            <w:r w:rsidRPr="00C24D02">
              <w:rPr>
                <w:rFonts w:asciiTheme="minorHAnsi" w:eastAsia="Calibri" w:hAnsiTheme="minorHAnsi" w:cstheme="minorHAnsi"/>
              </w:rPr>
              <w:t>)</w:t>
            </w:r>
          </w:p>
        </w:tc>
        <w:tc>
          <w:tcPr>
            <w:tcW w:w="6378" w:type="dxa"/>
          </w:tcPr>
          <w:p w14:paraId="6899EE8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3/3/-/3</w:t>
            </w:r>
          </w:p>
        </w:tc>
      </w:tr>
      <w:tr w:rsidR="00317816" w:rsidRPr="00C24D02" w14:paraId="6D073876" w14:textId="77777777" w:rsidTr="003D1A59">
        <w:tc>
          <w:tcPr>
            <w:tcW w:w="2405" w:type="dxa"/>
          </w:tcPr>
          <w:p w14:paraId="181572D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9E338D0"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částečně, hodnocení upraveno na stupeň 2.</w:t>
            </w:r>
          </w:p>
        </w:tc>
      </w:tr>
    </w:tbl>
    <w:p w14:paraId="490DE9D9" w14:textId="77777777" w:rsidR="00317816" w:rsidRPr="00C24D02" w:rsidRDefault="00317816" w:rsidP="00317816">
      <w:pPr>
        <w:spacing w:after="144" w:line="360" w:lineRule="auto"/>
        <w:rPr>
          <w:rFonts w:asciiTheme="minorHAnsi" w:hAnsiTheme="minorHAnsi" w:cstheme="minorHAnsi"/>
        </w:rPr>
      </w:pPr>
    </w:p>
    <w:p w14:paraId="35D101B9"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Posudky</w:t>
      </w:r>
    </w:p>
    <w:p w14:paraId="2E3BF28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CD3A9C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Kritika typu „zahrnout více regionů/složitější faktory“ je obecná rada a zcela míjí deklarovaný evropský záběr studie. Publikace v Nature Communications, vysoký altmetric a praktické implikace pro adaptaci pěstitelů svědčí o vynikající mezinárodní úrovni. Za vyloženě perfidní lze považovat konstatování finálního posudku panelisty garanta, že výsledek je „poměrně vysoce citovaný“, kdy panelista garant flagrantně přehlíží skutečnost, na kterou bylo v nominačním dokumenta i poukázáno, že „The work was published in a Q1 category journal and in the Nature Index (Nature Communications). This article is in the 99th percentile (ranked 44th) of the 371,792 tracked articles of a similar age in all journals and the 99th percentile (ranked 1st) of the 2,415 tracked articles of a similar age in Nature Communications (Springer Altmetric). The published result has significant national (main channels including Czech News Agency – ČTK) and worldwide mass media quotations and impact including for example CNN, BBC, EL Pais, ABC News…).”</w:t>
      </w:r>
    </w:p>
    <w:p w14:paraId="6F2488A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lastRenderedPageBreak/>
        <w:t>Stanovisko garanta</w:t>
      </w:r>
      <w:r w:rsidRPr="00C24D02">
        <w:rPr>
          <w:rFonts w:asciiTheme="minorHAnsi" w:hAnsiTheme="minorHAnsi" w:cstheme="minorHAnsi"/>
        </w:rPr>
        <w:t>: Publikace byla oběma hodnotiteli hodnocena jako velmi dobrá s finální známkou 3. Metriky uvedeného článku i samotného periodika dávají předpoklad k lepšímu hodnocení. V Modulu M1 by ale nemělo být založeno na bibliometrických údajích článku či časopisu, ale na skutečné aplikovatelnosti výsledku. Také rozsah provedené studie není překážkou k lepšímu hodnocení. Studie nemá za cíl přinést všechny odpovědi, spíše dokumentuje vývoj hodnocených produkčních a kvalitativních charakteristik v souvislosti s vývojem podmínek počasí, což je pro výsledek "Přínos k poznání" relevantní cíl. Na druhou stranu je samotná kvalita článku do jisté míry ovlivněna zmíněnými slabými stránkami v komplexnosti zpracované problematiky (především zahrnutí všech důležitých parametrů pro model), které mohou ovlivňovat kvalitu finální predikce. Pokud posuzujeme především intenzitu uplatnění výsledku, tak lze uvažovat nad lepší známkou. Pokud posuzujeme i hloubku provedení článku, nejvyšší hodnocení není na místě. Vzhledem k uvedeným skutečnostem a k tomu, že i přes udělení hodnocení stupněm 3 oběma hodnotiteli, jejich posudky vyznívají převážně pochvalně, navrhujeme zlepšit hodnocení o jeden stupeň, tedy na hodnocení 2.</w:t>
      </w:r>
    </w:p>
    <w:p w14:paraId="679CA286"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 xml:space="preserve">Panel navrhuje námitce částečně vyhovět a udělit výsledku hodnocení 2. </w:t>
      </w:r>
    </w:p>
    <w:p w14:paraId="7F13DFBE"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74E66867" w14:textId="666C7613" w:rsidR="00317816" w:rsidRPr="00C24D02"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se změnou výsledného hodnocení a udělením známky 2.</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52F08DF" w14:textId="77777777" w:rsidTr="003D1A59">
        <w:tc>
          <w:tcPr>
            <w:tcW w:w="2405" w:type="dxa"/>
          </w:tcPr>
          <w:p w14:paraId="46402D0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70D52D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výzkumu globální změny AV ČR</w:t>
            </w:r>
          </w:p>
        </w:tc>
      </w:tr>
      <w:tr w:rsidR="00317816" w:rsidRPr="00C24D02" w14:paraId="69A90C22" w14:textId="77777777" w:rsidTr="003D1A59">
        <w:tc>
          <w:tcPr>
            <w:tcW w:w="2405" w:type="dxa"/>
          </w:tcPr>
          <w:p w14:paraId="387430E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C84B1E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192504426</w:t>
            </w:r>
          </w:p>
        </w:tc>
      </w:tr>
      <w:tr w:rsidR="00317816" w:rsidRPr="00C24D02" w14:paraId="0D97AFC7" w14:textId="77777777" w:rsidTr="003D1A59">
        <w:trPr>
          <w:trHeight w:val="741"/>
        </w:trPr>
        <w:tc>
          <w:tcPr>
            <w:tcW w:w="2405" w:type="dxa"/>
          </w:tcPr>
          <w:p w14:paraId="154356C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366109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Calcium availability affects the intrinsic water-use efficiency of temperate forest trees</w:t>
            </w:r>
          </w:p>
        </w:tc>
      </w:tr>
      <w:tr w:rsidR="00317816" w:rsidRPr="00C24D02" w14:paraId="1655629D" w14:textId="77777777" w:rsidTr="003D1A59">
        <w:tc>
          <w:tcPr>
            <w:tcW w:w="2405" w:type="dxa"/>
          </w:tcPr>
          <w:p w14:paraId="0F3F11E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19D9B2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1.5.</w:t>
            </w:r>
          </w:p>
        </w:tc>
      </w:tr>
      <w:tr w:rsidR="00317816" w:rsidRPr="00C24D02" w14:paraId="28D5C02E" w14:textId="77777777" w:rsidTr="003D1A59">
        <w:tc>
          <w:tcPr>
            <w:tcW w:w="2405" w:type="dxa"/>
          </w:tcPr>
          <w:p w14:paraId="64B4CCC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721701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32D14629" w14:textId="77777777" w:rsidTr="003D1A59">
        <w:tc>
          <w:tcPr>
            <w:tcW w:w="2405" w:type="dxa"/>
          </w:tcPr>
          <w:p w14:paraId="2B3A636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80"/>
            </w:r>
            <w:r w:rsidRPr="00C24D02">
              <w:rPr>
                <w:rFonts w:asciiTheme="minorHAnsi" w:eastAsia="Calibri" w:hAnsiTheme="minorHAnsi" w:cstheme="minorHAnsi"/>
              </w:rPr>
              <w:t>)</w:t>
            </w:r>
          </w:p>
        </w:tc>
        <w:tc>
          <w:tcPr>
            <w:tcW w:w="6378" w:type="dxa"/>
          </w:tcPr>
          <w:p w14:paraId="7A0527B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1/2/-/2</w:t>
            </w:r>
          </w:p>
        </w:tc>
      </w:tr>
      <w:tr w:rsidR="00317816" w:rsidRPr="00C24D02" w14:paraId="35F4774D" w14:textId="77777777" w:rsidTr="003D1A59">
        <w:tc>
          <w:tcPr>
            <w:tcW w:w="2405" w:type="dxa"/>
          </w:tcPr>
          <w:p w14:paraId="217D730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Návrh rozhodnutí Rady</w:t>
            </w:r>
          </w:p>
        </w:tc>
        <w:tc>
          <w:tcPr>
            <w:tcW w:w="6378" w:type="dxa"/>
          </w:tcPr>
          <w:p w14:paraId="64B2AF1A"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2.</w:t>
            </w:r>
          </w:p>
        </w:tc>
      </w:tr>
    </w:tbl>
    <w:p w14:paraId="7E918C4D" w14:textId="77777777" w:rsidR="00317816" w:rsidRPr="00C24D02" w:rsidRDefault="00317816" w:rsidP="00317816">
      <w:pPr>
        <w:spacing w:after="144" w:line="360" w:lineRule="auto"/>
        <w:rPr>
          <w:rFonts w:asciiTheme="minorHAnsi" w:hAnsiTheme="minorHAnsi" w:cstheme="minorHAnsi"/>
        </w:rPr>
      </w:pPr>
    </w:p>
    <w:p w14:paraId="30C0632E"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Posudky</w:t>
      </w:r>
    </w:p>
    <w:p w14:paraId="5FA9A34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09E9537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Posudky </w:t>
      </w:r>
      <w:r w:rsidRPr="00C24D02">
        <w:rPr>
          <w:rFonts w:asciiTheme="minorHAnsi" w:hAnsiTheme="minorHAnsi" w:cstheme="minorHAnsi"/>
          <w:b/>
          <w:bCs/>
        </w:rPr>
        <w:t>1 a 2</w:t>
      </w:r>
      <w:r w:rsidRPr="00C24D02">
        <w:rPr>
          <w:rFonts w:asciiTheme="minorHAnsi" w:hAnsiTheme="minorHAnsi" w:cstheme="minorHAnsi"/>
        </w:rPr>
        <w:t xml:space="preserve">; panelista garant </w:t>
      </w:r>
      <w:r w:rsidRPr="00C24D02">
        <w:rPr>
          <w:rFonts w:asciiTheme="minorHAnsi" w:hAnsiTheme="minorHAnsi" w:cstheme="minorHAnsi"/>
          <w:b/>
          <w:bCs/>
        </w:rPr>
        <w:t>2</w:t>
      </w:r>
      <w:r w:rsidRPr="00C24D02">
        <w:rPr>
          <w:rFonts w:asciiTheme="minorHAnsi" w:hAnsiTheme="minorHAnsi" w:cstheme="minorHAnsi"/>
        </w:rPr>
        <w:t xml:space="preserve">. Studie poprve robustně propojuje </w:t>
      </w:r>
      <w:r w:rsidRPr="00C24D02">
        <w:rPr>
          <w:rFonts w:asciiTheme="minorHAnsi" w:hAnsiTheme="minorHAnsi" w:cstheme="minorHAnsi"/>
          <w:b/>
          <w:bCs/>
        </w:rPr>
        <w:t xml:space="preserve">pokles dostupnosti Ca </w:t>
      </w:r>
      <w:r w:rsidRPr="00C24D02">
        <w:rPr>
          <w:rFonts w:asciiTheme="minorHAnsi" w:hAnsiTheme="minorHAnsi" w:cstheme="minorHAnsi"/>
        </w:rPr>
        <w:t xml:space="preserve">s dlouhodobou dynamikou </w:t>
      </w:r>
      <w:r w:rsidRPr="00C24D02">
        <w:rPr>
          <w:rFonts w:asciiTheme="minorHAnsi" w:hAnsiTheme="minorHAnsi" w:cstheme="minorHAnsi"/>
          <w:b/>
          <w:bCs/>
        </w:rPr>
        <w:t xml:space="preserve">iWUE </w:t>
      </w:r>
      <w:r w:rsidRPr="00C24D02">
        <w:rPr>
          <w:rFonts w:asciiTheme="minorHAnsi" w:hAnsiTheme="minorHAnsi" w:cstheme="minorHAnsi"/>
        </w:rPr>
        <w:t xml:space="preserve">napřič </w:t>
      </w:r>
      <w:r w:rsidRPr="00C24D02">
        <w:rPr>
          <w:rFonts w:asciiTheme="minorHAnsi" w:hAnsiTheme="minorHAnsi" w:cstheme="minorHAnsi"/>
          <w:b/>
          <w:bCs/>
        </w:rPr>
        <w:t xml:space="preserve">pěti lokalitami </w:t>
      </w:r>
      <w:r w:rsidRPr="00C24D02">
        <w:rPr>
          <w:rFonts w:asciiTheme="minorHAnsi" w:hAnsiTheme="minorHAnsi" w:cstheme="minorHAnsi"/>
        </w:rPr>
        <w:t xml:space="preserve">a vice druhy, jedna se o </w:t>
      </w:r>
      <w:r w:rsidRPr="00C24D02">
        <w:rPr>
          <w:rFonts w:asciiTheme="minorHAnsi" w:hAnsiTheme="minorHAnsi" w:cstheme="minorHAnsi"/>
          <w:b/>
          <w:bCs/>
        </w:rPr>
        <w:t xml:space="preserve">nový pohled </w:t>
      </w:r>
      <w:r w:rsidRPr="00C24D02">
        <w:rPr>
          <w:rFonts w:asciiTheme="minorHAnsi" w:hAnsiTheme="minorHAnsi" w:cstheme="minorHAnsi"/>
        </w:rPr>
        <w:t xml:space="preserve">s dopady pro </w:t>
      </w:r>
      <w:r w:rsidRPr="00C24D02">
        <w:rPr>
          <w:rFonts w:asciiTheme="minorHAnsi" w:hAnsiTheme="minorHAnsi" w:cstheme="minorHAnsi"/>
          <w:b/>
          <w:bCs/>
        </w:rPr>
        <w:t xml:space="preserve">uhlíkový/vodní cyklus </w:t>
      </w:r>
      <w:r w:rsidRPr="00C24D02">
        <w:rPr>
          <w:rFonts w:asciiTheme="minorHAnsi" w:hAnsiTheme="minorHAnsi" w:cstheme="minorHAnsi"/>
        </w:rPr>
        <w:t xml:space="preserve">a </w:t>
      </w:r>
      <w:r w:rsidRPr="00C24D02">
        <w:rPr>
          <w:rFonts w:asciiTheme="minorHAnsi" w:hAnsiTheme="minorHAnsi" w:cstheme="minorHAnsi"/>
          <w:b/>
          <w:bCs/>
        </w:rPr>
        <w:t>modelování</w:t>
      </w:r>
      <w:r w:rsidRPr="00C24D02">
        <w:rPr>
          <w:rFonts w:asciiTheme="minorHAnsi" w:hAnsiTheme="minorHAnsi" w:cstheme="minorHAnsi"/>
        </w:rPr>
        <w:t xml:space="preserve">. Finalni posudek panelisty garanta neuvadi žadny negativni aspekt, ktery by odůvodňoval hodnoceni za 2. Navrhujeme </w:t>
      </w:r>
      <w:r w:rsidRPr="00C24D02">
        <w:rPr>
          <w:rFonts w:asciiTheme="minorHAnsi" w:hAnsiTheme="minorHAnsi" w:cstheme="minorHAnsi"/>
          <w:b/>
          <w:bCs/>
        </w:rPr>
        <w:t>1</w:t>
      </w:r>
      <w:r w:rsidRPr="00C24D02">
        <w:rPr>
          <w:rFonts w:asciiTheme="minorHAnsi" w:hAnsiTheme="minorHAnsi" w:cstheme="minorHAnsi"/>
        </w:rPr>
        <w:t>.</w:t>
      </w:r>
    </w:p>
    <w:p w14:paraId="5733444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Panel konstatuje, že hodnocená studie představuje významný přínos k poznání v oblasti lesní ekologie a biogeochemie, zejména v kontextu klimatických změn a dopadů acidifikace prostředí. Autoři poprvé robustně prokazují souvislost mezi dostupností vápníku v půdě, dlouhodobými změnami v intrinsic water-use efficiency (iWUE) a druhově specifickou reakcí na rostoucí koncentraci atmosférického CO₂, což otevírá nový pohled na fyziologii dřevin a jejich roli v uhlíkovém a vodním cyklu. Originalita studie spočívá zejména v mezioborovém propojení dendrochronologie, izotopové analýzy, půdní chemie a modelování, jehož výsledky mají mezinárodní přesah a přinášejí relevantní implikace pro lesní hospodaření a tvorbu klimatických modelů. Panel současně uznává argumenty uvedené v odvolání, které zdůrazňují novost propojení Ca dostupnosti a dynamiky iWUE napříč pěti lokalitami. Na základě definice hodnoticí škály však panel dospěl k závěru, že ačkoliv se jedná o excelentní a mezinárodně významný výsledek, nenaplňuje kritéria nejvyšší kategorie určené pro průlomové objevy zásadně měnící teoretické paradigma. Studie představuje velmi kvalitní a významné prohloubení stávajícího vědeckého poznání a otevírá nové směry dalšího výzkumu, avšak nepředstavuje zásadní konceptuální změnu. To odpovídá charakteristice mezinárodně excelentního výsledku se silným vědeckým dopadem, nikoli však průlomového výsledku v nejvyšší kategorii. Proto panel potvrzuje původní hodnocení v kategorii „Přínos k poznání“ známkou 2.</w:t>
      </w:r>
    </w:p>
    <w:p w14:paraId="64CE7DE1"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2.</w:t>
      </w:r>
    </w:p>
    <w:p w14:paraId="60BFFBC6"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lastRenderedPageBreak/>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45622D54" w14:textId="69FA91CA" w:rsidR="00317816" w:rsidRPr="00C24D02" w:rsidRDefault="00317816" w:rsidP="003C778F">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617CE86" w14:textId="77777777" w:rsidTr="003D1A59">
        <w:tc>
          <w:tcPr>
            <w:tcW w:w="2405" w:type="dxa"/>
          </w:tcPr>
          <w:p w14:paraId="6271C3B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16EE36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výzkumu globální změny AV ČR</w:t>
            </w:r>
          </w:p>
        </w:tc>
      </w:tr>
      <w:tr w:rsidR="00317816" w:rsidRPr="00C24D02" w14:paraId="51769844" w14:textId="77777777" w:rsidTr="003D1A59">
        <w:tc>
          <w:tcPr>
            <w:tcW w:w="2405" w:type="dxa"/>
          </w:tcPr>
          <w:p w14:paraId="6A5AC32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36FE365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192504510</w:t>
            </w:r>
          </w:p>
        </w:tc>
      </w:tr>
      <w:tr w:rsidR="00317816" w:rsidRPr="00C24D02" w14:paraId="3BEADBD1" w14:textId="77777777" w:rsidTr="003D1A59">
        <w:trPr>
          <w:trHeight w:val="741"/>
        </w:trPr>
        <w:tc>
          <w:tcPr>
            <w:tcW w:w="2405" w:type="dxa"/>
          </w:tcPr>
          <w:p w14:paraId="4DBC568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4D511DA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Využití portálu Agrorisk.Cz – Systému včasné výstrahy před negativními dopady počasí do zemědělství</w:t>
            </w:r>
          </w:p>
        </w:tc>
      </w:tr>
      <w:tr w:rsidR="00317816" w:rsidRPr="00C24D02" w14:paraId="1DA56BB6" w14:textId="77777777" w:rsidTr="003D1A59">
        <w:tc>
          <w:tcPr>
            <w:tcW w:w="2405" w:type="dxa"/>
          </w:tcPr>
          <w:p w14:paraId="3BFFC67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E6D2EB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4.1..</w:t>
            </w:r>
          </w:p>
        </w:tc>
      </w:tr>
      <w:tr w:rsidR="00317816" w:rsidRPr="00C24D02" w14:paraId="09CC91F1" w14:textId="77777777" w:rsidTr="003D1A59">
        <w:tc>
          <w:tcPr>
            <w:tcW w:w="2405" w:type="dxa"/>
          </w:tcPr>
          <w:p w14:paraId="6E21E10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4C3E24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7580F25A" w14:textId="77777777" w:rsidTr="003D1A59">
        <w:tc>
          <w:tcPr>
            <w:tcW w:w="2405" w:type="dxa"/>
          </w:tcPr>
          <w:p w14:paraId="08077D5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81"/>
            </w:r>
            <w:r w:rsidRPr="00C24D02">
              <w:rPr>
                <w:rFonts w:asciiTheme="minorHAnsi" w:eastAsia="Calibri" w:hAnsiTheme="minorHAnsi" w:cstheme="minorHAnsi"/>
              </w:rPr>
              <w:t>)</w:t>
            </w:r>
          </w:p>
        </w:tc>
        <w:tc>
          <w:tcPr>
            <w:tcW w:w="6378" w:type="dxa"/>
          </w:tcPr>
          <w:p w14:paraId="2260C56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2/2/-/2</w:t>
            </w:r>
          </w:p>
        </w:tc>
      </w:tr>
      <w:tr w:rsidR="00317816" w:rsidRPr="00C24D02" w14:paraId="31054B46" w14:textId="77777777" w:rsidTr="003D1A59">
        <w:tc>
          <w:tcPr>
            <w:tcW w:w="2405" w:type="dxa"/>
          </w:tcPr>
          <w:p w14:paraId="6EDE57E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62DF712A"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1.</w:t>
            </w:r>
          </w:p>
        </w:tc>
      </w:tr>
    </w:tbl>
    <w:p w14:paraId="33258F4D" w14:textId="77777777" w:rsidR="00317816" w:rsidRPr="00C24D02" w:rsidRDefault="00317816" w:rsidP="00317816">
      <w:pPr>
        <w:spacing w:after="144" w:line="360" w:lineRule="auto"/>
        <w:rPr>
          <w:rFonts w:asciiTheme="minorHAnsi" w:hAnsiTheme="minorHAnsi" w:cstheme="minorHAnsi"/>
        </w:rPr>
      </w:pPr>
    </w:p>
    <w:p w14:paraId="42F752C4"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Posudky</w:t>
      </w:r>
    </w:p>
    <w:p w14:paraId="252F023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774F01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Výsledek představuje bezprecedentní </w:t>
      </w:r>
      <w:r w:rsidRPr="00C24D02">
        <w:rPr>
          <w:rFonts w:asciiTheme="minorHAnsi" w:hAnsiTheme="minorHAnsi" w:cstheme="minorHAnsi"/>
          <w:b/>
          <w:bCs/>
        </w:rPr>
        <w:t>strategický nástroj pro zemědělskou praxi</w:t>
      </w:r>
      <w:r w:rsidRPr="00C24D02">
        <w:rPr>
          <w:rFonts w:asciiTheme="minorHAnsi" w:hAnsiTheme="minorHAnsi" w:cstheme="minorHAnsi"/>
        </w:rPr>
        <w:t xml:space="preserve">, který je </w:t>
      </w:r>
      <w:r w:rsidRPr="00C24D02">
        <w:rPr>
          <w:rFonts w:asciiTheme="minorHAnsi" w:hAnsiTheme="minorHAnsi" w:cstheme="minorHAnsi"/>
          <w:b/>
          <w:bCs/>
        </w:rPr>
        <w:t xml:space="preserve">certifikován </w:t>
      </w:r>
      <w:r w:rsidRPr="00C24D02">
        <w:rPr>
          <w:rFonts w:asciiTheme="minorHAnsi" w:hAnsiTheme="minorHAnsi" w:cstheme="minorHAnsi"/>
        </w:rPr>
        <w:t xml:space="preserve">a dlouhodobě široce ověřen a používán v provozu. Portál Agrorisk.cz poskytuje </w:t>
      </w:r>
      <w:r w:rsidRPr="00C24D02">
        <w:rPr>
          <w:rFonts w:asciiTheme="minorHAnsi" w:hAnsiTheme="minorHAnsi" w:cstheme="minorHAnsi"/>
          <w:b/>
          <w:bCs/>
        </w:rPr>
        <w:t>celorepublikový monitoring dat</w:t>
      </w:r>
      <w:r w:rsidRPr="00C24D02">
        <w:rPr>
          <w:rFonts w:asciiTheme="minorHAnsi" w:hAnsiTheme="minorHAnsi" w:cstheme="minorHAnsi"/>
        </w:rPr>
        <w:t xml:space="preserve">, mapové výstupy, </w:t>
      </w:r>
      <w:r w:rsidRPr="00C24D02">
        <w:rPr>
          <w:rFonts w:asciiTheme="minorHAnsi" w:hAnsiTheme="minorHAnsi" w:cstheme="minorHAnsi"/>
          <w:b/>
          <w:bCs/>
        </w:rPr>
        <w:t>9denní předpovědi biotických i abiotických rizik</w:t>
      </w:r>
      <w:r w:rsidRPr="00C24D02">
        <w:rPr>
          <w:rFonts w:asciiTheme="minorHAnsi" w:hAnsiTheme="minorHAnsi" w:cstheme="minorHAnsi"/>
        </w:rPr>
        <w:t xml:space="preserve">, čímž nejen významně přispívá k </w:t>
      </w:r>
      <w:r w:rsidRPr="00C24D02">
        <w:rPr>
          <w:rFonts w:asciiTheme="minorHAnsi" w:hAnsiTheme="minorHAnsi" w:cstheme="minorHAnsi"/>
          <w:b/>
          <w:bCs/>
        </w:rPr>
        <w:t xml:space="preserve">ochraně zemědělské produkce </w:t>
      </w:r>
      <w:r w:rsidRPr="00C24D02">
        <w:rPr>
          <w:rFonts w:asciiTheme="minorHAnsi" w:hAnsiTheme="minorHAnsi" w:cstheme="minorHAnsi"/>
        </w:rPr>
        <w:t xml:space="preserve">a </w:t>
      </w:r>
      <w:r w:rsidRPr="00C24D02">
        <w:rPr>
          <w:rFonts w:asciiTheme="minorHAnsi" w:hAnsiTheme="minorHAnsi" w:cstheme="minorHAnsi"/>
          <w:b/>
          <w:bCs/>
        </w:rPr>
        <w:t xml:space="preserve">minimalizaci ekonomických ztrát, ale i zbytečné produkci uhlíku a zbytečné zátěži životního prostředí chemickými látkami. </w:t>
      </w:r>
      <w:r w:rsidRPr="00C24D02">
        <w:rPr>
          <w:rFonts w:asciiTheme="minorHAnsi" w:hAnsiTheme="minorHAnsi" w:cstheme="minorHAnsi"/>
        </w:rPr>
        <w:t>.</w:t>
      </w:r>
    </w:p>
    <w:p w14:paraId="7C2B82B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Rozpor v posudcích („dobře známy a hojně využívaný“ vs. „velice málo známy“, což vůbec neodpovídá realitě) nelze považovat za relevantní důvod pro ponechaní známky 2, </w:t>
      </w:r>
      <w:r w:rsidRPr="00C24D02">
        <w:rPr>
          <w:rFonts w:asciiTheme="minorHAnsi" w:hAnsiTheme="minorHAnsi" w:cstheme="minorHAnsi"/>
          <w:b/>
          <w:bCs/>
        </w:rPr>
        <w:t xml:space="preserve">panelista </w:t>
      </w:r>
      <w:r w:rsidRPr="00C24D02">
        <w:rPr>
          <w:rFonts w:asciiTheme="minorHAnsi" w:hAnsiTheme="minorHAnsi" w:cstheme="minorHAnsi"/>
        </w:rPr>
        <w:t>g</w:t>
      </w:r>
      <w:r w:rsidRPr="00C24D02">
        <w:rPr>
          <w:rFonts w:asciiTheme="minorHAnsi" w:hAnsiTheme="minorHAnsi" w:cstheme="minorHAnsi"/>
          <w:b/>
          <w:bCs/>
        </w:rPr>
        <w:t xml:space="preserve">arant neuvádí žádný negativní aspekt kvality </w:t>
      </w:r>
      <w:r w:rsidRPr="00C24D02">
        <w:rPr>
          <w:rFonts w:asciiTheme="minorHAnsi" w:hAnsiTheme="minorHAnsi" w:cstheme="minorHAnsi"/>
        </w:rPr>
        <w:t>výsledku.</w:t>
      </w:r>
    </w:p>
    <w:p w14:paraId="2C427096" w14:textId="77777777" w:rsidR="00317816" w:rsidRPr="00C24D02" w:rsidRDefault="00317816" w:rsidP="00317816">
      <w:pPr>
        <w:pStyle w:val="Odstavecseseznamem"/>
        <w:numPr>
          <w:ilvl w:val="0"/>
          <w:numId w:val="11"/>
        </w:numPr>
        <w:spacing w:after="144" w:line="360" w:lineRule="auto"/>
        <w:jc w:val="both"/>
        <w:rPr>
          <w:rFonts w:asciiTheme="minorHAnsi" w:hAnsiTheme="minorHAnsi" w:cstheme="minorHAnsi"/>
        </w:rPr>
      </w:pPr>
      <w:r w:rsidRPr="00C24D02">
        <w:rPr>
          <w:rFonts w:asciiTheme="minorHAnsi" w:hAnsiTheme="minorHAnsi" w:cstheme="minorHAnsi"/>
        </w:rPr>
        <w:lastRenderedPageBreak/>
        <w:t xml:space="preserve">Metodika má </w:t>
      </w:r>
      <w:r w:rsidRPr="00C24D02">
        <w:rPr>
          <w:rFonts w:asciiTheme="minorHAnsi" w:hAnsiTheme="minorHAnsi" w:cstheme="minorHAnsi"/>
          <w:b/>
          <w:bCs/>
        </w:rPr>
        <w:t xml:space="preserve">mezinárodní přesah </w:t>
      </w:r>
      <w:r w:rsidRPr="00C24D02">
        <w:rPr>
          <w:rFonts w:asciiTheme="minorHAnsi" w:hAnsiTheme="minorHAnsi" w:cstheme="minorHAnsi"/>
        </w:rPr>
        <w:t xml:space="preserve">– zájem o implementaci obdobného systému deklarovaly instituce na Slovensku (SPU Nitra) a v Rakousku (BOKU Wien), což potvrzuje </w:t>
      </w:r>
      <w:r w:rsidRPr="00C24D02">
        <w:rPr>
          <w:rFonts w:asciiTheme="minorHAnsi" w:hAnsiTheme="minorHAnsi" w:cstheme="minorHAnsi"/>
          <w:b/>
          <w:bCs/>
        </w:rPr>
        <w:t>exportní potenciál</w:t>
      </w:r>
      <w:r w:rsidRPr="00C24D02">
        <w:rPr>
          <w:rFonts w:asciiTheme="minorHAnsi" w:hAnsiTheme="minorHAnsi" w:cstheme="minorHAnsi"/>
        </w:rPr>
        <w:t>.</w:t>
      </w:r>
    </w:p>
    <w:p w14:paraId="0BE5F6B3" w14:textId="77777777" w:rsidR="00317816" w:rsidRPr="00C24D02" w:rsidRDefault="00317816" w:rsidP="00317816">
      <w:pPr>
        <w:pStyle w:val="Odstavecseseznamem"/>
        <w:numPr>
          <w:ilvl w:val="0"/>
          <w:numId w:val="11"/>
        </w:numPr>
        <w:spacing w:after="144" w:line="360" w:lineRule="auto"/>
        <w:jc w:val="both"/>
        <w:rPr>
          <w:rFonts w:asciiTheme="minorHAnsi" w:hAnsiTheme="minorHAnsi" w:cstheme="minorHAnsi"/>
          <w:b/>
          <w:bCs/>
        </w:rPr>
      </w:pPr>
      <w:r w:rsidRPr="00C24D02">
        <w:rPr>
          <w:rFonts w:asciiTheme="minorHAnsi" w:hAnsiTheme="minorHAnsi" w:cstheme="minorHAnsi"/>
          <w:b/>
          <w:bCs/>
        </w:rPr>
        <w:t>Jedná se o významný adaptační nástroj zcela v souladu s evropskou i národní strategií přizpůsobení se změně klimatu a snižování environmentálních rizik.</w:t>
      </w:r>
    </w:p>
    <w:p w14:paraId="1035DA17" w14:textId="77777777" w:rsidR="00317816" w:rsidRPr="00C24D02" w:rsidRDefault="00317816" w:rsidP="00317816">
      <w:pPr>
        <w:pStyle w:val="Odstavecseseznamem"/>
        <w:numPr>
          <w:ilvl w:val="0"/>
          <w:numId w:val="11"/>
        </w:numPr>
        <w:spacing w:after="144" w:line="360" w:lineRule="auto"/>
        <w:jc w:val="both"/>
        <w:rPr>
          <w:rFonts w:asciiTheme="minorHAnsi" w:hAnsiTheme="minorHAnsi" w:cstheme="minorHAnsi"/>
        </w:rPr>
      </w:pPr>
      <w:r w:rsidRPr="00C24D02">
        <w:rPr>
          <w:rFonts w:asciiTheme="minorHAnsi" w:hAnsiTheme="minorHAnsi" w:cstheme="minorHAnsi"/>
        </w:rPr>
        <w:t xml:space="preserve">Navíc se jedna o </w:t>
      </w:r>
      <w:r w:rsidRPr="00C24D02">
        <w:rPr>
          <w:rFonts w:asciiTheme="minorHAnsi" w:hAnsiTheme="minorHAnsi" w:cstheme="minorHAnsi"/>
          <w:b/>
          <w:bCs/>
        </w:rPr>
        <w:t>unikátní spojení vědeckého výzkumu a praktické aplikace</w:t>
      </w:r>
      <w:r w:rsidRPr="00C24D02">
        <w:rPr>
          <w:rFonts w:asciiTheme="minorHAnsi" w:hAnsiTheme="minorHAnsi" w:cstheme="minorHAnsi"/>
        </w:rPr>
        <w:t xml:space="preserve">, které má </w:t>
      </w:r>
      <w:r w:rsidRPr="00C24D02">
        <w:rPr>
          <w:rFonts w:asciiTheme="minorHAnsi" w:hAnsiTheme="minorHAnsi" w:cstheme="minorHAnsi"/>
          <w:b/>
          <w:bCs/>
        </w:rPr>
        <w:t xml:space="preserve">prokazatelný ekonomický dopad </w:t>
      </w:r>
      <w:r w:rsidRPr="00C24D02">
        <w:rPr>
          <w:rFonts w:asciiTheme="minorHAnsi" w:hAnsiTheme="minorHAnsi" w:cstheme="minorHAnsi"/>
        </w:rPr>
        <w:t xml:space="preserve">na zemědělskou výrobu a veřejný zájem. V kontextu kritéria „Společenská relevance“ nad míru splňuje všechny parametry </w:t>
      </w:r>
      <w:r w:rsidRPr="00C24D02">
        <w:rPr>
          <w:rFonts w:asciiTheme="minorHAnsi" w:hAnsiTheme="minorHAnsi" w:cstheme="minorHAnsi"/>
          <w:b/>
          <w:bCs/>
        </w:rPr>
        <w:t>excelentního výsledku</w:t>
      </w:r>
      <w:r w:rsidRPr="00C24D02">
        <w:rPr>
          <w:rFonts w:asciiTheme="minorHAnsi" w:hAnsiTheme="minorHAnsi" w:cstheme="minorHAnsi"/>
        </w:rPr>
        <w:t xml:space="preserve">. Žádáme </w:t>
      </w:r>
      <w:r w:rsidRPr="00C24D02">
        <w:rPr>
          <w:rFonts w:asciiTheme="minorHAnsi" w:hAnsiTheme="minorHAnsi" w:cstheme="minorHAnsi"/>
          <w:b/>
          <w:bCs/>
        </w:rPr>
        <w:t>přeřazení na 1</w:t>
      </w:r>
      <w:r w:rsidRPr="00C24D02">
        <w:rPr>
          <w:rFonts w:asciiTheme="minorHAnsi" w:hAnsiTheme="minorHAnsi" w:cstheme="minorHAnsi"/>
        </w:rPr>
        <w:t>.</w:t>
      </w:r>
    </w:p>
    <w:p w14:paraId="7CFC6C8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Výsledek byl současně podán k hodnocení další organizací (MENDELU) a nezávisle hodnocen, kdy získal dva posudky s hodnocením 1 a rovněž celkové hodnocení stupněm 1. Vzhledem k nutnosti jednotného hodnocení výsledku pro všechny organizace, a vzhledem k uvedeným informacím o kvalitě a významu výsledku, navrhujeme udělení hodnocení 1 rovněž v případě organizace CzechGlobe.</w:t>
      </w:r>
    </w:p>
    <w:p w14:paraId="7ADBB45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 xml:space="preserve">Panel navrhuje námitce vyhovět a udělit hodnocení 1. </w:t>
      </w:r>
    </w:p>
    <w:p w14:paraId="59A2EE15"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10C69C17" w14:textId="4CB7D8E2"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w:t>
      </w:r>
      <w:r w:rsidRPr="00C24D02">
        <w:rPr>
          <w:rFonts w:asciiTheme="minorHAnsi" w:hAnsiTheme="minorHAnsi" w:cstheme="minorHAnsi"/>
        </w:rPr>
        <w:t xml:space="preserve"> KHV souhlasí se změnou hodnocení podle doporučení Odborného panelu.</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0591E8D7" w14:textId="77777777" w:rsidTr="003D1A59">
        <w:tc>
          <w:tcPr>
            <w:tcW w:w="2405" w:type="dxa"/>
          </w:tcPr>
          <w:p w14:paraId="2E5EDDA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086AD59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VŠB-TUO - CEET</w:t>
            </w:r>
          </w:p>
        </w:tc>
      </w:tr>
      <w:tr w:rsidR="00317816" w:rsidRPr="00C24D02" w14:paraId="501FEE6A" w14:textId="77777777" w:rsidTr="003D1A59">
        <w:tc>
          <w:tcPr>
            <w:tcW w:w="2405" w:type="dxa"/>
          </w:tcPr>
          <w:p w14:paraId="499E3CC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68F3CE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192506878</w:t>
            </w:r>
          </w:p>
        </w:tc>
      </w:tr>
      <w:tr w:rsidR="00317816" w:rsidRPr="00C24D02" w14:paraId="601B4796" w14:textId="77777777" w:rsidTr="003D1A59">
        <w:trPr>
          <w:trHeight w:val="741"/>
        </w:trPr>
        <w:tc>
          <w:tcPr>
            <w:tcW w:w="2405" w:type="dxa"/>
          </w:tcPr>
          <w:p w14:paraId="740A2E7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45A4D8B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Zakládání a fungování lokální platformy pro snižování rizik katastrof</w:t>
            </w:r>
          </w:p>
        </w:tc>
      </w:tr>
      <w:tr w:rsidR="00317816" w:rsidRPr="00C24D02" w14:paraId="6B16F6AB" w14:textId="77777777" w:rsidTr="003D1A59">
        <w:tc>
          <w:tcPr>
            <w:tcW w:w="2405" w:type="dxa"/>
          </w:tcPr>
          <w:p w14:paraId="1196348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4A6A4CF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1.5.</w:t>
            </w:r>
          </w:p>
        </w:tc>
      </w:tr>
      <w:tr w:rsidR="00317816" w:rsidRPr="00C24D02" w14:paraId="4E2E392A" w14:textId="77777777" w:rsidTr="003D1A59">
        <w:tc>
          <w:tcPr>
            <w:tcW w:w="2405" w:type="dxa"/>
          </w:tcPr>
          <w:p w14:paraId="6B01E9A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36D2B9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5010613D" w14:textId="77777777" w:rsidTr="003D1A59">
        <w:tc>
          <w:tcPr>
            <w:tcW w:w="2405" w:type="dxa"/>
          </w:tcPr>
          <w:p w14:paraId="5E53DD0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82"/>
            </w:r>
            <w:r w:rsidRPr="00C24D02">
              <w:rPr>
                <w:rFonts w:asciiTheme="minorHAnsi" w:eastAsia="Calibri" w:hAnsiTheme="minorHAnsi" w:cstheme="minorHAnsi"/>
              </w:rPr>
              <w:t>)</w:t>
            </w:r>
          </w:p>
        </w:tc>
        <w:tc>
          <w:tcPr>
            <w:tcW w:w="6378" w:type="dxa"/>
          </w:tcPr>
          <w:p w14:paraId="5252DDB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w:t>
            </w:r>
          </w:p>
        </w:tc>
      </w:tr>
      <w:tr w:rsidR="00317816" w:rsidRPr="00C24D02" w14:paraId="62B96B80" w14:textId="77777777" w:rsidTr="003D1A59">
        <w:tc>
          <w:tcPr>
            <w:tcW w:w="2405" w:type="dxa"/>
          </w:tcPr>
          <w:p w14:paraId="1F6F3E0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Návrh rozhodnutí Rady</w:t>
            </w:r>
          </w:p>
        </w:tc>
        <w:tc>
          <w:tcPr>
            <w:tcW w:w="6378" w:type="dxa"/>
          </w:tcPr>
          <w:p w14:paraId="09AA3B81"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5.</w:t>
            </w:r>
          </w:p>
        </w:tc>
      </w:tr>
    </w:tbl>
    <w:p w14:paraId="7E5DEAB5" w14:textId="77777777" w:rsidR="00317816" w:rsidRPr="00C24D02" w:rsidRDefault="00317816" w:rsidP="00317816">
      <w:pPr>
        <w:spacing w:after="144" w:line="360" w:lineRule="auto"/>
        <w:rPr>
          <w:rFonts w:asciiTheme="minorHAnsi" w:hAnsiTheme="minorHAnsi" w:cstheme="minorHAnsi"/>
        </w:rPr>
      </w:pPr>
    </w:p>
    <w:p w14:paraId="74022074"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Multioborový výsledek</w:t>
      </w:r>
    </w:p>
    <w:p w14:paraId="10A40857"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Obracíme se na Vás ve věci výsledku „Zakládání a fungování lokální platformy pro snižování rizik katastrof (LPDRR)” (autoři: Danihelka Pavel, Koloničný Jan, Kupka David) s žádostí o jeho přehodnocení a posouzení s ohledem na skutečný mezioborový charakter, systémový přesah a společenskou relevanci tohoto výsledku. </w:t>
      </w:r>
    </w:p>
    <w:p w14:paraId="7FE0B15E"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Uvědomujeme si, že v případě podobně komplexního a mezioborového výstupu může být oborové zařazení obtížné a nemusí být jednoznačné. Přesto se domníváme, že původní hodnocení neodráží plně podstatu a přínos metodiky, která svým zaměřením a uplatněním přesahuje hranice přírodních věd a významně se opírá o principy řízení, plánování a organizace procesů na úrovni lokálních komunit. </w:t>
      </w:r>
    </w:p>
    <w:p w14:paraId="6A015317"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Celkové zaměření metodiky </w:t>
      </w:r>
    </w:p>
    <w:p w14:paraId="4FDD8195"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Metodika „Zakládání a fungování lokální platformy pro snižování rizik katastrof (LPDRR)” je zaměřena na efektivní organizaci a koordinaci procesu snižování rizik katastrof na lokální úrovni. Jejím cílem je systematicky využít doporučení UNDRR (United Nations Office for Disaster Risk Reduction) k zavedení lokálních platforem jako klíčového nástroje budování resilience komunit. Metodika vznikla v kontextu komplexního přístupu k budování lokální resilience vůči různým typům hrozeb (přírodním, technickým i sociálním) a klade důraz na propojení více sektorů – veřejné správy, odborných institucí, podnikatelských subjektů i občanské společnosti. </w:t>
      </w:r>
    </w:p>
    <w:p w14:paraId="7FC0FE00"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Přírodní jevy a znalosti environmentálních a geovědních disciplín hrají důležitou roli při praktickém využití metodiky, zejména při řešení důsledků přírodních katastrof. Celkově se zaměřuje na integraci snižování rizika katastrof do místního rozvoje, aby se katastrofám předešlo nebo aby jejich dopady nebyly kritické pro území obce. Metodika tak přímo přispívá k naplňování národní strategie, posiluje kapacity krizového řízení a umožňuje adaptaci osvědčených postupů do praxe. </w:t>
      </w:r>
    </w:p>
    <w:p w14:paraId="29DD5424"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lastRenderedPageBreak/>
        <w:t>Metodika je koncipována jako integrovaný rámec pro propojení environmentální bezpečnosti, krizového řízení a strategického rozvoje území. Vychází z principů řízení rizik, participativního plánování, komunitního rozvoje a adaptace na změnu klimatu, čímž vytváří praktický most mezi oblastí přírodních věd, společenských věd a managementu. ….</w:t>
      </w:r>
    </w:p>
    <w:p w14:paraId="2AF1B296"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…..Mezioborový charakter a systémový přístup </w:t>
      </w:r>
    </w:p>
    <w:p w14:paraId="155CDF3D"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Zásadním přínosem metodiky je mimo jiné i její mezioborovost, která se projevuje jak v obsahu, tak v praktickém uplatnění: </w:t>
      </w:r>
    </w:p>
    <w:p w14:paraId="26ECEA39" w14:textId="77777777" w:rsidR="00317816" w:rsidRPr="00C24D02" w:rsidRDefault="00317816" w:rsidP="00317816">
      <w:pPr>
        <w:numPr>
          <w:ilvl w:val="0"/>
          <w:numId w:val="12"/>
        </w:numPr>
        <w:spacing w:after="144" w:line="360" w:lineRule="auto"/>
        <w:ind w:left="851" w:hanging="851"/>
        <w:jc w:val="both"/>
        <w:rPr>
          <w:rFonts w:asciiTheme="minorHAnsi" w:hAnsiTheme="minorHAnsi" w:cstheme="minorHAnsi"/>
          <w:bCs/>
        </w:rPr>
      </w:pPr>
      <w:r w:rsidRPr="00C24D02">
        <w:rPr>
          <w:rFonts w:asciiTheme="minorHAnsi" w:hAnsiTheme="minorHAnsi" w:cstheme="minorHAnsi"/>
          <w:bCs/>
        </w:rPr>
        <w:t xml:space="preserve">Spojuje environmentální vědy (identifikace a pochopení přírodních hrozeb, dopady klimatických změn, environmentální rizika), </w:t>
      </w:r>
    </w:p>
    <w:p w14:paraId="69E255FC" w14:textId="77777777" w:rsidR="00317816" w:rsidRPr="00C24D02" w:rsidRDefault="00317816" w:rsidP="00317816">
      <w:pPr>
        <w:numPr>
          <w:ilvl w:val="0"/>
          <w:numId w:val="12"/>
        </w:numPr>
        <w:spacing w:after="144" w:line="360" w:lineRule="auto"/>
        <w:ind w:left="851" w:hanging="851"/>
        <w:jc w:val="both"/>
        <w:rPr>
          <w:rFonts w:asciiTheme="minorHAnsi" w:hAnsiTheme="minorHAnsi" w:cstheme="minorHAnsi"/>
          <w:bCs/>
        </w:rPr>
      </w:pPr>
      <w:r w:rsidRPr="00C24D02">
        <w:rPr>
          <w:rFonts w:asciiTheme="minorHAnsi" w:hAnsiTheme="minorHAnsi" w:cstheme="minorHAnsi"/>
          <w:bCs/>
        </w:rPr>
        <w:t xml:space="preserve">Integruje manažerské přístupy (řízení procesů, plánování, koordinace aktérů, řízení rizik a zdrojů), </w:t>
      </w:r>
    </w:p>
    <w:p w14:paraId="2B09971D" w14:textId="77777777" w:rsidR="00317816" w:rsidRPr="00C24D02" w:rsidRDefault="00317816" w:rsidP="00317816">
      <w:pPr>
        <w:numPr>
          <w:ilvl w:val="0"/>
          <w:numId w:val="12"/>
        </w:numPr>
        <w:spacing w:after="144" w:line="360" w:lineRule="auto"/>
        <w:ind w:left="851" w:hanging="851"/>
        <w:jc w:val="both"/>
        <w:rPr>
          <w:rFonts w:asciiTheme="minorHAnsi" w:hAnsiTheme="minorHAnsi" w:cstheme="minorHAnsi"/>
          <w:bCs/>
        </w:rPr>
      </w:pPr>
      <w:r w:rsidRPr="00C24D02">
        <w:rPr>
          <w:rFonts w:asciiTheme="minorHAnsi" w:hAnsiTheme="minorHAnsi" w:cstheme="minorHAnsi"/>
          <w:bCs/>
        </w:rPr>
        <w:t xml:space="preserve">Opírá se o principy sociálních a ekonomických věd (komunitní participace, posilování resilience společnosti, governance a rozvoj regionů). </w:t>
      </w:r>
    </w:p>
    <w:p w14:paraId="29F702F6"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Tento transdisciplinární rámec odpovídá aktuálním trendům výzkumu v EU, které kladou důraz na propojení technických, přírodních a sociálních systémů při řešení komplexních hrozeb. Metodika je tak příkladem praktického využití systémového myšlení v řízení rizik a představuje modelový přístup pro veřejnou správu při přechodu od reaktivního ke strategicky preventivnímu řízení. </w:t>
      </w:r>
    </w:p>
    <w:p w14:paraId="04395F87"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Hlavní obor dle klasifikace FORD a jeho odůvodnění </w:t>
      </w:r>
    </w:p>
    <w:p w14:paraId="28126E73"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S ohledem na obsah a účel metodiky považujeme za vhodné její mezioborové zařazení, které lépe vystihuje komplexní charakter výsledku: </w:t>
      </w:r>
    </w:p>
    <w:p w14:paraId="6623F24A"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1.5 Earth and related environmental sciences (Environmental sciences – social aspects) </w:t>
      </w:r>
    </w:p>
    <w:p w14:paraId="0C12E9C9"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5.2 Economics and Business (Business and Management) </w:t>
      </w:r>
    </w:p>
    <w:p w14:paraId="4C9F82E2"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5.7 Social and Economic Geography (Environmental management, community resilience) </w:t>
      </w:r>
    </w:p>
    <w:p w14:paraId="1E6D0127"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Toto mezioborové pojetí odpovídá skutečnosti, že metodika spojuje environmentální, organizační a společenskovědní přístupy. Zatímco environmentální vědy poskytují rámec pro pochopení přírodních hrozeb, těžiště metodiky spočívá v sociálně-prostorovém a </w:t>
      </w:r>
      <w:r w:rsidRPr="00C24D02">
        <w:rPr>
          <w:rFonts w:asciiTheme="minorHAnsi" w:hAnsiTheme="minorHAnsi" w:cstheme="minorHAnsi"/>
          <w:bCs/>
        </w:rPr>
        <w:lastRenderedPageBreak/>
        <w:t xml:space="preserve">manažerském rozměru – tedy v tom, jak organizovat komunitní spolupráci, plánovat rozvoj území a posilovat odolnost společnosti vůči katastrofám. </w:t>
      </w:r>
    </w:p>
    <w:p w14:paraId="56D201F8"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Závěr </w:t>
      </w:r>
    </w:p>
    <w:p w14:paraId="51A267E6"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 xml:space="preserve">Jsme přesvědčeni, že metodika představuje významný společensky relevantní výsledek, který spojuje principy krizového řízení, regionálního rozvoje a environmentální bezpečnosti do jednoho prakticky využitelného rámce. Jejím hlavním přínosem je nejen ochrana obyvatelstva a infrastruktury, ale také posílení kultury prevence, spolupráce a systémového řízení rizik na lokální úrovni. Díky svému mezioborovému charakteru, který propojuje environmentální, manažerské a sociálně-prostorové přístupy, a díky doložené aplikační praxi představuje metodika účinný nástroj pro rozvoj resilience komunit v České republice. Jsme proto přesvědčeni, že tyto skutečnosti budou při novém posouzení zohledněny. </w:t>
      </w:r>
    </w:p>
    <w:p w14:paraId="5E78D678" w14:textId="77777777" w:rsidR="00317816" w:rsidRPr="00C24D02" w:rsidRDefault="00317816" w:rsidP="00317816">
      <w:pPr>
        <w:spacing w:after="144" w:line="360" w:lineRule="auto"/>
        <w:jc w:val="both"/>
        <w:rPr>
          <w:rFonts w:asciiTheme="minorHAnsi" w:hAnsiTheme="minorHAnsi" w:cstheme="minorHAnsi"/>
          <w:bCs/>
        </w:rPr>
      </w:pPr>
      <w:r w:rsidRPr="00C24D02">
        <w:rPr>
          <w:rFonts w:asciiTheme="minorHAnsi" w:hAnsiTheme="minorHAnsi" w:cstheme="minorHAnsi"/>
          <w:bCs/>
        </w:rPr>
        <w:t>Děkujeme Vám za pochopení, vstřícnost a ochotu znovu posoudit předložený výsledek.</w:t>
      </w:r>
    </w:p>
    <w:p w14:paraId="5CC8935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Po přezkoumání odvolání i přiložené dokumentace bylo ověřeno, že plný text výsledku nebyl panelu zpřístupněn v souladu s pravidly Modulu 1. V popisu výsledku je uveden odkaz na komerční databázi ScienceDirect, která je dostupná pouze na základě předplatného. Přestože autoři deklarují, že plný text byl umístěn na zabezpečeném úložišti, nebylo prokázáno, že tento dokument byl hodnotitelům skutečně dostupný v době posuzování. Pravidla jednoznačně vyžadují, aby byl předložen plný text výsledku v podobě umožňující přímé odborné posouzení, tedy bez nutnosti předplatného nebo dalších technických omezení. Nebyly tedy splněny povinné náležitosti pro řádné hodnocení výsledku. Panel z výše uvedených důvodů potvrzuje původní hodnocení.</w:t>
      </w:r>
    </w:p>
    <w:p w14:paraId="15C9FB21"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00B3D824"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0E778492"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 xml:space="preserve">Při hodnocení je nutno postupovat dle příslušných oddílů textu Metodiky hodnocení. </w:t>
      </w:r>
    </w:p>
    <w:p w14:paraId="1A257DF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rPr>
        <w:t>4.2 Zajištění podkladů pro hodnocení vybraných výsledků</w:t>
      </w:r>
      <w:r w:rsidRPr="00C24D02">
        <w:rPr>
          <w:rFonts w:asciiTheme="minorHAnsi" w:hAnsiTheme="minorHAnsi" w:cstheme="minorHAnsi"/>
        </w:rPr>
        <w:t xml:space="preserve">, písmene a) Postupu, ve kterém je uvedeno: „Do hodnocení vybraných výsledků mohou být zařazeny pouze výsledky uvedené v </w:t>
      </w:r>
      <w:r w:rsidRPr="00C24D02">
        <w:rPr>
          <w:rFonts w:asciiTheme="minorHAnsi" w:hAnsiTheme="minorHAnsi" w:cstheme="minorHAnsi"/>
        </w:rPr>
        <w:lastRenderedPageBreak/>
        <w:t>RIV. Do hodnocení se předkládá vždy plný text daného výsledku (např. celá kniha u výsledku druhu B, celá kapitola včetně údajů identifikujících knihu u druhu výsledku C, celá metodika a nejen její osvědčení u výsledku druhu NmetS atd.). U výsledků, kde je plný text zveřejněn na úložišti výzkumné organizace či jiném úložišti, musí být výsledek veřejně přístupný (nesmí být na heslo nebo přístupný jen po zaplacení poplatku apod. a musí jít o odkaz na daný výsledek, tj. nikoliv na knihovnu apod., kde je možné ho najít).“</w:t>
      </w:r>
    </w:p>
    <w:p w14:paraId="2B5DBF5D"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rPr>
        <w:t xml:space="preserve"> </w:t>
      </w:r>
      <w:r w:rsidRPr="00C24D02">
        <w:rPr>
          <w:rFonts w:asciiTheme="minorHAnsi" w:hAnsiTheme="minorHAnsi" w:cstheme="minorHAnsi"/>
          <w:b/>
          <w:bCs/>
        </w:rPr>
        <w:t>7.2.3 Rozhodování o výsledném zařazení výsledku na hodnoticí škále</w:t>
      </w:r>
      <w:r w:rsidRPr="00C24D02">
        <w:rPr>
          <w:rFonts w:asciiTheme="minorHAnsi" w:hAnsiTheme="minorHAnsi" w:cstheme="minorHAnsi"/>
        </w:rPr>
        <w:t>, písmene i),. Postupu</w:t>
      </w:r>
      <w:r w:rsidRPr="00C24D02">
        <w:rPr>
          <w:rStyle w:val="Znakapoznpodarou"/>
          <w:rFonts w:asciiTheme="minorHAnsi" w:eastAsiaTheme="majorEastAsia" w:hAnsiTheme="minorHAnsi" w:cstheme="minorHAnsi"/>
        </w:rPr>
        <w:footnoteReference w:id="83"/>
      </w:r>
      <w:r w:rsidRPr="00C24D02">
        <w:rPr>
          <w:rFonts w:asciiTheme="minorHAnsi" w:hAnsiTheme="minorHAnsi" w:cstheme="minorHAnsi"/>
        </w:rPr>
        <w:t xml:space="preserve">, ve kterém je uvedeno:“ </w:t>
      </w:r>
      <w:r w:rsidRPr="00C24D02">
        <w:rPr>
          <w:rFonts w:asciiTheme="minorHAnsi" w:hAnsiTheme="minorHAnsi" w:cstheme="minorHAnsi"/>
          <w:i/>
          <w:iCs/>
        </w:rPr>
        <w:t>Pro zajištění mezioborové kalibrace výsledků hodnocených v modulu M1 a pro zajištění následného objektivního škálování jednotlivých VO na základě hodnocení v modulu M1 je dozorovatelem KHV. Mezioborově zkalibrované výsledky budou poskytnuty jednotlivým VO a budou využity i při jejich škálování.“</w:t>
      </w:r>
    </w:p>
    <w:p w14:paraId="2E8C57CE" w14:textId="0BECE22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Metodiky 2017+.</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B031A71" w14:textId="77777777" w:rsidTr="003D1A59">
        <w:tc>
          <w:tcPr>
            <w:tcW w:w="2405" w:type="dxa"/>
          </w:tcPr>
          <w:p w14:paraId="5911569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0934007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VŠB-TUO - Fakulta elektrotechniky a informatiky</w:t>
            </w:r>
          </w:p>
        </w:tc>
      </w:tr>
      <w:tr w:rsidR="00317816" w:rsidRPr="00C24D02" w14:paraId="6003A984" w14:textId="77777777" w:rsidTr="003D1A59">
        <w:tc>
          <w:tcPr>
            <w:tcW w:w="2405" w:type="dxa"/>
          </w:tcPr>
          <w:p w14:paraId="311A3DE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6C5095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192432478</w:t>
            </w:r>
          </w:p>
        </w:tc>
      </w:tr>
      <w:tr w:rsidR="00317816" w:rsidRPr="00C24D02" w14:paraId="50D65E57" w14:textId="77777777" w:rsidTr="003D1A59">
        <w:trPr>
          <w:trHeight w:val="741"/>
        </w:trPr>
        <w:tc>
          <w:tcPr>
            <w:tcW w:w="2405" w:type="dxa"/>
          </w:tcPr>
          <w:p w14:paraId="078B0A2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C11C59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Mapa plošné distribuce uhelných částic v celkové prašné depozici v okolí skládky uhlí SS01020432-V12</w:t>
            </w:r>
          </w:p>
        </w:tc>
      </w:tr>
      <w:tr w:rsidR="00317816" w:rsidRPr="00C24D02" w14:paraId="318EE983" w14:textId="77777777" w:rsidTr="003D1A59">
        <w:tc>
          <w:tcPr>
            <w:tcW w:w="2405" w:type="dxa"/>
          </w:tcPr>
          <w:p w14:paraId="4AEE0ED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29BC22C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1.5.</w:t>
            </w:r>
          </w:p>
        </w:tc>
      </w:tr>
      <w:tr w:rsidR="00317816" w:rsidRPr="00C24D02" w14:paraId="44E93CCF" w14:textId="77777777" w:rsidTr="003D1A59">
        <w:tc>
          <w:tcPr>
            <w:tcW w:w="2405" w:type="dxa"/>
          </w:tcPr>
          <w:p w14:paraId="52A1096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6F3755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56798690" w14:textId="77777777" w:rsidTr="003D1A59">
        <w:tc>
          <w:tcPr>
            <w:tcW w:w="2405" w:type="dxa"/>
          </w:tcPr>
          <w:p w14:paraId="42CE9F8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84"/>
            </w:r>
            <w:r w:rsidRPr="00C24D02">
              <w:rPr>
                <w:rFonts w:asciiTheme="minorHAnsi" w:eastAsia="Calibri" w:hAnsiTheme="minorHAnsi" w:cstheme="minorHAnsi"/>
              </w:rPr>
              <w:t>)</w:t>
            </w:r>
          </w:p>
        </w:tc>
        <w:tc>
          <w:tcPr>
            <w:tcW w:w="6378" w:type="dxa"/>
          </w:tcPr>
          <w:p w14:paraId="0BC9C43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4/3/-/4</w:t>
            </w:r>
          </w:p>
        </w:tc>
      </w:tr>
      <w:tr w:rsidR="00317816" w:rsidRPr="00C24D02" w14:paraId="399365AC" w14:textId="77777777" w:rsidTr="003D1A59">
        <w:tc>
          <w:tcPr>
            <w:tcW w:w="2405" w:type="dxa"/>
          </w:tcPr>
          <w:p w14:paraId="0F2C239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2B5D690A"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66B0446F" w14:textId="77777777" w:rsidR="00317816" w:rsidRPr="00C24D02" w:rsidRDefault="00317816" w:rsidP="00317816">
      <w:pPr>
        <w:spacing w:after="144" w:line="360" w:lineRule="auto"/>
        <w:rPr>
          <w:rFonts w:asciiTheme="minorHAnsi" w:hAnsiTheme="minorHAnsi" w:cstheme="minorHAnsi"/>
        </w:rPr>
      </w:pPr>
    </w:p>
    <w:p w14:paraId="133E4512"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lastRenderedPageBreak/>
        <w:t>Námitka: Věcné nesrovnalosti v hodnocení hodnotitelů</w:t>
      </w:r>
    </w:p>
    <w:p w14:paraId="56EC88D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B4AC75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Odvolání se opírá o věcné nesrovnalosti v hodnocení hodnotitelů a následné rozhodnutí panelu, které podle našeho názoru nezohlednilo doložené podklady ani charakter výsledku deklarovaný v projektu a v povinném textu výsledku. </w:t>
      </w:r>
    </w:p>
    <w:p w14:paraId="0ECE64FF" w14:textId="77777777" w:rsidR="00317816" w:rsidRPr="00C24D02" w:rsidRDefault="00317816" w:rsidP="00317816">
      <w:pPr>
        <w:spacing w:after="144" w:line="360" w:lineRule="auto"/>
        <w:ind w:firstLine="357"/>
        <w:jc w:val="both"/>
        <w:rPr>
          <w:rFonts w:asciiTheme="minorHAnsi" w:hAnsiTheme="minorHAnsi" w:cstheme="minorHAnsi"/>
          <w:b/>
          <w:bCs/>
        </w:rPr>
      </w:pPr>
      <w:r w:rsidRPr="00C24D02">
        <w:rPr>
          <w:rFonts w:asciiTheme="minorHAnsi" w:hAnsiTheme="minorHAnsi" w:cstheme="minorHAnsi"/>
        </w:rPr>
        <w:t xml:space="preserve">Projekt TAČR SS01020432 byl ukončen s hodnocením </w:t>
      </w:r>
      <w:r w:rsidRPr="00C24D02">
        <w:rPr>
          <w:rFonts w:asciiTheme="minorHAnsi" w:hAnsiTheme="minorHAnsi" w:cstheme="minorHAnsi"/>
          <w:b/>
          <w:bCs/>
        </w:rPr>
        <w:t>„Projekt uspěl s vynikajícími výsledky“</w:t>
      </w:r>
    </w:p>
    <w:p w14:paraId="1F053EF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Věcné námitky </w:t>
      </w:r>
    </w:p>
    <w:p w14:paraId="274C4EC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a) Nesprávná interpretace rozsahu výsledku </w:t>
      </w:r>
    </w:p>
    <w:p w14:paraId="3577477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Hodnotitel 1 nesprávně interpretuje rozsah výsledku. Výstup nebyl deklarován jako mapa výhradně pro frakci PM10, nýbrž jako </w:t>
      </w:r>
      <w:r w:rsidRPr="00C24D02">
        <w:rPr>
          <w:rFonts w:asciiTheme="minorHAnsi" w:hAnsiTheme="minorHAnsi" w:cstheme="minorHAnsi"/>
          <w:b/>
          <w:bCs/>
        </w:rPr>
        <w:t xml:space="preserve">metodický nástroj pro identifikaci uhelných částic </w:t>
      </w:r>
      <w:r w:rsidRPr="00C24D02">
        <w:rPr>
          <w:rFonts w:asciiTheme="minorHAnsi" w:hAnsiTheme="minorHAnsi" w:cstheme="minorHAnsi"/>
        </w:rPr>
        <w:t xml:space="preserve">využitelný jak pro </w:t>
      </w:r>
      <w:r w:rsidRPr="00C24D02">
        <w:rPr>
          <w:rFonts w:asciiTheme="minorHAnsi" w:hAnsiTheme="minorHAnsi" w:cstheme="minorHAnsi"/>
          <w:b/>
          <w:bCs/>
        </w:rPr>
        <w:t>PM10</w:t>
      </w:r>
      <w:r w:rsidRPr="00C24D02">
        <w:rPr>
          <w:rFonts w:asciiTheme="minorHAnsi" w:hAnsiTheme="minorHAnsi" w:cstheme="minorHAnsi"/>
        </w:rPr>
        <w:t xml:space="preserve">, tak pro </w:t>
      </w:r>
      <w:r w:rsidRPr="00C24D02">
        <w:rPr>
          <w:rFonts w:asciiTheme="minorHAnsi" w:hAnsiTheme="minorHAnsi" w:cstheme="minorHAnsi"/>
          <w:b/>
          <w:bCs/>
        </w:rPr>
        <w:t>celkovou prašnou depozici</w:t>
      </w:r>
      <w:r w:rsidRPr="00C24D02">
        <w:rPr>
          <w:rFonts w:asciiTheme="minorHAnsi" w:hAnsiTheme="minorHAnsi" w:cstheme="minorHAnsi"/>
        </w:rPr>
        <w:t xml:space="preserve">. Tento dualní charakter je výslovně uveden v předloženém textu výsledku (část </w:t>
      </w:r>
      <w:r w:rsidRPr="00C24D02">
        <w:rPr>
          <w:rFonts w:asciiTheme="minorHAnsi" w:hAnsiTheme="minorHAnsi" w:cstheme="minorHAnsi"/>
          <w:i/>
          <w:iCs/>
        </w:rPr>
        <w:t>zdůvodnění významu výsledku</w:t>
      </w:r>
      <w:r w:rsidRPr="00C24D02">
        <w:rPr>
          <w:rFonts w:asciiTheme="minorHAnsi" w:hAnsiTheme="minorHAnsi" w:cstheme="minorHAnsi"/>
        </w:rPr>
        <w:t xml:space="preserve">). </w:t>
      </w:r>
    </w:p>
    <w:p w14:paraId="3BFC8C6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Originalita výstupu nespočívá v novém odběrovém postupu, nýbrž v </w:t>
      </w:r>
      <w:r w:rsidRPr="00C24D02">
        <w:rPr>
          <w:rFonts w:asciiTheme="minorHAnsi" w:hAnsiTheme="minorHAnsi" w:cstheme="minorHAnsi"/>
          <w:b/>
          <w:bCs/>
        </w:rPr>
        <w:t xml:space="preserve">propojení geochemických markerů zjištěných metodou py-GC/MS s EC4 frakcí získanou termickou analýzou </w:t>
      </w:r>
      <w:r w:rsidRPr="00C24D02">
        <w:rPr>
          <w:rFonts w:asciiTheme="minorHAnsi" w:hAnsiTheme="minorHAnsi" w:cstheme="minorHAnsi"/>
        </w:rPr>
        <w:t xml:space="preserve">a v jejich využití jako indikátoru. „uhelné složky“ prachu. Tento přístup byl dále </w:t>
      </w:r>
      <w:r w:rsidRPr="00C24D02">
        <w:rPr>
          <w:rFonts w:asciiTheme="minorHAnsi" w:hAnsiTheme="minorHAnsi" w:cstheme="minorHAnsi"/>
          <w:b/>
          <w:bCs/>
        </w:rPr>
        <w:t>validován regresní analýzou a ověřen metodami SEM/EDX</w:t>
      </w:r>
      <w:r w:rsidRPr="00C24D02">
        <w:rPr>
          <w:rFonts w:asciiTheme="minorHAnsi" w:hAnsiTheme="minorHAnsi" w:cstheme="minorHAnsi"/>
        </w:rPr>
        <w:t xml:space="preserve">, jak hodnotitel 1 sám uznal. </w:t>
      </w:r>
    </w:p>
    <w:p w14:paraId="62A2F06E" w14:textId="77777777" w:rsidR="00317816" w:rsidRPr="00C24D02" w:rsidRDefault="00317816" w:rsidP="00317816">
      <w:pPr>
        <w:spacing w:after="144" w:line="360" w:lineRule="auto"/>
        <w:ind w:hanging="142"/>
        <w:jc w:val="both"/>
        <w:rPr>
          <w:rFonts w:asciiTheme="minorHAnsi" w:hAnsiTheme="minorHAnsi" w:cstheme="minorHAnsi"/>
        </w:rPr>
      </w:pPr>
      <w:r w:rsidRPr="00C24D02">
        <w:rPr>
          <w:rFonts w:asciiTheme="minorHAnsi" w:hAnsiTheme="minorHAnsi" w:cstheme="minorHAnsi"/>
          <w:b/>
          <w:bCs/>
        </w:rPr>
        <w:t xml:space="preserve">b) Validace metody pro PM10 byla prokazatelně provedena a publikována </w:t>
      </w:r>
    </w:p>
    <w:p w14:paraId="1FEEA1D3" w14:textId="77777777" w:rsidR="00317816" w:rsidRPr="00C24D02" w:rsidRDefault="00317816" w:rsidP="00317816">
      <w:pPr>
        <w:spacing w:after="144" w:line="360" w:lineRule="auto"/>
        <w:ind w:hanging="142"/>
        <w:jc w:val="both"/>
        <w:rPr>
          <w:rFonts w:asciiTheme="minorHAnsi" w:hAnsiTheme="minorHAnsi" w:cstheme="minorHAnsi"/>
        </w:rPr>
      </w:pPr>
      <w:r w:rsidRPr="00C24D02">
        <w:rPr>
          <w:rFonts w:asciiTheme="minorHAnsi" w:hAnsiTheme="minorHAnsi" w:cstheme="minorHAnsi"/>
        </w:rPr>
        <w:t xml:space="preserve">Hodnotitel 1 uvádí, že by byla nutná „potvrzující studie pro PM10“. Tato studie však již </w:t>
      </w:r>
      <w:r w:rsidRPr="00C24D02">
        <w:rPr>
          <w:rFonts w:asciiTheme="minorHAnsi" w:hAnsiTheme="minorHAnsi" w:cstheme="minorHAnsi"/>
          <w:b/>
          <w:bCs/>
        </w:rPr>
        <w:t xml:space="preserve">existuje a byla publikována v impaktovaném časopise </w:t>
      </w:r>
      <w:r w:rsidRPr="00C24D02">
        <w:rPr>
          <w:rFonts w:asciiTheme="minorHAnsi" w:hAnsiTheme="minorHAnsi" w:cstheme="minorHAnsi"/>
          <w:b/>
          <w:bCs/>
          <w:i/>
          <w:iCs/>
        </w:rPr>
        <w:t xml:space="preserve">Environmental Science and Pollution Research </w:t>
      </w:r>
      <w:r w:rsidRPr="00C24D02">
        <w:rPr>
          <w:rFonts w:asciiTheme="minorHAnsi" w:hAnsiTheme="minorHAnsi" w:cstheme="minorHAnsi"/>
        </w:rPr>
        <w:t xml:space="preserve">jako výsledek téhož projektu TAČR (SS01020432). Publikace dokumentuje aplikaci metody na frakci PM10 a potvrzuje korelaci EC4 frakce s geochemickými markery uhlí. Tento fakt byl doložen v přílohách k hodnocenému výstupu, avšak nebyl zohledněn v posudku. </w:t>
      </w:r>
    </w:p>
    <w:p w14:paraId="20C2EAC7" w14:textId="77777777" w:rsidR="00317816" w:rsidRPr="00C24D02" w:rsidRDefault="00317816" w:rsidP="00317816">
      <w:pPr>
        <w:spacing w:after="144" w:line="360" w:lineRule="auto"/>
        <w:ind w:hanging="142"/>
        <w:jc w:val="both"/>
        <w:rPr>
          <w:rFonts w:asciiTheme="minorHAnsi" w:hAnsiTheme="minorHAnsi" w:cstheme="minorHAnsi"/>
        </w:rPr>
      </w:pPr>
      <w:r w:rsidRPr="00C24D02">
        <w:rPr>
          <w:rFonts w:asciiTheme="minorHAnsi" w:hAnsiTheme="minorHAnsi" w:cstheme="minorHAnsi"/>
          <w:b/>
          <w:bCs/>
        </w:rPr>
        <w:t xml:space="preserve">c) Význam výsledku přetrvává i po útlumu využívání uhlí </w:t>
      </w:r>
    </w:p>
    <w:p w14:paraId="70B5A6F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Argument hodnotitele 2, že výstup „nemá zásadní špičkové parametry“ vzhledem k omezení používání uhlí, není věcně relevantní. Metoda má dlouhodobou relevanci, neboť: </w:t>
      </w:r>
    </w:p>
    <w:p w14:paraId="03D22C71" w14:textId="77777777" w:rsidR="00317816" w:rsidRPr="00C24D02" w:rsidRDefault="00317816" w:rsidP="00317816">
      <w:pPr>
        <w:numPr>
          <w:ilvl w:val="0"/>
          <w:numId w:val="14"/>
        </w:numPr>
        <w:spacing w:after="144" w:line="360" w:lineRule="auto"/>
        <w:ind w:left="851" w:hanging="567"/>
        <w:jc w:val="both"/>
        <w:rPr>
          <w:rFonts w:asciiTheme="minorHAnsi" w:hAnsiTheme="minorHAnsi" w:cstheme="minorHAnsi"/>
        </w:rPr>
      </w:pPr>
      <w:r w:rsidRPr="00C24D02">
        <w:rPr>
          <w:rFonts w:asciiTheme="minorHAnsi" w:hAnsiTheme="minorHAnsi" w:cstheme="minorHAnsi"/>
        </w:rPr>
        <w:t xml:space="preserve">uhelné částice se nadále uvolňují ze </w:t>
      </w:r>
      <w:r w:rsidRPr="00C24D02">
        <w:rPr>
          <w:rFonts w:asciiTheme="minorHAnsi" w:hAnsiTheme="minorHAnsi" w:cstheme="minorHAnsi"/>
          <w:b/>
          <w:bCs/>
        </w:rPr>
        <w:t xml:space="preserve">sekundárních zdrojů </w:t>
      </w:r>
      <w:r w:rsidRPr="00C24D02">
        <w:rPr>
          <w:rFonts w:asciiTheme="minorHAnsi" w:hAnsiTheme="minorHAnsi" w:cstheme="minorHAnsi"/>
        </w:rPr>
        <w:t xml:space="preserve">(skládky, odkaliště, překladiště, haldy), </w:t>
      </w:r>
    </w:p>
    <w:p w14:paraId="30FFAA37" w14:textId="77777777" w:rsidR="00317816" w:rsidRPr="00C24D02" w:rsidRDefault="00317816" w:rsidP="00317816">
      <w:pPr>
        <w:numPr>
          <w:ilvl w:val="0"/>
          <w:numId w:val="14"/>
        </w:numPr>
        <w:spacing w:after="144" w:line="360" w:lineRule="auto"/>
        <w:ind w:left="851" w:hanging="567"/>
        <w:jc w:val="both"/>
        <w:rPr>
          <w:rFonts w:asciiTheme="minorHAnsi" w:hAnsiTheme="minorHAnsi" w:cstheme="minorHAnsi"/>
        </w:rPr>
      </w:pPr>
      <w:r w:rsidRPr="00C24D02">
        <w:rPr>
          <w:rFonts w:asciiTheme="minorHAnsi" w:hAnsiTheme="minorHAnsi" w:cstheme="minorHAnsi"/>
        </w:rPr>
        <w:lastRenderedPageBreak/>
        <w:t xml:space="preserve">v řadě regionů ČR i Evropy zůstávají významným faktorem </w:t>
      </w:r>
      <w:r w:rsidRPr="00C24D02">
        <w:rPr>
          <w:rFonts w:asciiTheme="minorHAnsi" w:hAnsiTheme="minorHAnsi" w:cstheme="minorHAnsi"/>
          <w:b/>
          <w:bCs/>
        </w:rPr>
        <w:t>domácí topeniště využívající uhlí</w:t>
      </w:r>
      <w:r w:rsidRPr="00C24D02">
        <w:rPr>
          <w:rFonts w:asciiTheme="minorHAnsi" w:hAnsiTheme="minorHAnsi" w:cstheme="minorHAnsi"/>
        </w:rPr>
        <w:t xml:space="preserve">, </w:t>
      </w:r>
    </w:p>
    <w:p w14:paraId="5B31DE8A" w14:textId="77777777" w:rsidR="00317816" w:rsidRPr="00C24D02" w:rsidRDefault="00317816" w:rsidP="00317816">
      <w:pPr>
        <w:numPr>
          <w:ilvl w:val="0"/>
          <w:numId w:val="14"/>
        </w:numPr>
        <w:spacing w:after="144" w:line="360" w:lineRule="auto"/>
        <w:ind w:left="851" w:hanging="567"/>
        <w:jc w:val="both"/>
        <w:rPr>
          <w:rFonts w:asciiTheme="minorHAnsi" w:hAnsiTheme="minorHAnsi" w:cstheme="minorHAnsi"/>
        </w:rPr>
      </w:pPr>
      <w:r w:rsidRPr="00C24D02">
        <w:rPr>
          <w:rFonts w:asciiTheme="minorHAnsi" w:hAnsiTheme="minorHAnsi" w:cstheme="minorHAnsi"/>
        </w:rPr>
        <w:t xml:space="preserve">metoda je </w:t>
      </w:r>
      <w:r w:rsidRPr="00C24D02">
        <w:rPr>
          <w:rFonts w:asciiTheme="minorHAnsi" w:hAnsiTheme="minorHAnsi" w:cstheme="minorHAnsi"/>
          <w:b/>
          <w:bCs/>
        </w:rPr>
        <w:t xml:space="preserve">přenosná i na identifikaci dalších pyrolytických částic </w:t>
      </w:r>
      <w:r w:rsidRPr="00C24D02">
        <w:rPr>
          <w:rFonts w:asciiTheme="minorHAnsi" w:hAnsiTheme="minorHAnsi" w:cstheme="minorHAnsi"/>
        </w:rPr>
        <w:t xml:space="preserve">(např. biomasa vs. uhlí). </w:t>
      </w:r>
    </w:p>
    <w:p w14:paraId="233336D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d) Nedostatečné odůvodnění rozhodnutí panelu </w:t>
      </w:r>
    </w:p>
    <w:p w14:paraId="7ECAABD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Rozhodnutí panelu, které se „přiklonilo k mírně horší známce“, </w:t>
      </w:r>
      <w:r w:rsidRPr="00C24D02">
        <w:rPr>
          <w:rFonts w:asciiTheme="minorHAnsi" w:hAnsiTheme="minorHAnsi" w:cstheme="minorHAnsi"/>
          <w:b/>
          <w:bCs/>
        </w:rPr>
        <w:t xml:space="preserve">neobsahuje žádné věcné zdůvodnění </w:t>
      </w:r>
      <w:r w:rsidRPr="00C24D02">
        <w:rPr>
          <w:rFonts w:asciiTheme="minorHAnsi" w:hAnsiTheme="minorHAnsi" w:cstheme="minorHAnsi"/>
        </w:rPr>
        <w:t xml:space="preserve">a není v souladu s požadavky metodiky hodnocení SKV, která předpokládá doložení odborných důvodů pro odchýlení od hodnocení jednotlivých posudků. Panel tak podle našeho názoru </w:t>
      </w:r>
      <w:r w:rsidRPr="00C24D02">
        <w:rPr>
          <w:rFonts w:asciiTheme="minorHAnsi" w:hAnsiTheme="minorHAnsi" w:cstheme="minorHAnsi"/>
          <w:b/>
          <w:bCs/>
        </w:rPr>
        <w:t>pochybil v procesním postupu</w:t>
      </w:r>
      <w:r w:rsidRPr="00C24D02">
        <w:rPr>
          <w:rFonts w:asciiTheme="minorHAnsi" w:hAnsiTheme="minorHAnsi" w:cstheme="minorHAnsi"/>
        </w:rPr>
        <w:t xml:space="preserve">. </w:t>
      </w:r>
    </w:p>
    <w:p w14:paraId="4030497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Návrh na přehodnocení </w:t>
      </w:r>
    </w:p>
    <w:p w14:paraId="177FA17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 základě výše uvedených skutečností žádáme o </w:t>
      </w:r>
      <w:r w:rsidRPr="00C24D02">
        <w:rPr>
          <w:rFonts w:asciiTheme="minorHAnsi" w:hAnsiTheme="minorHAnsi" w:cstheme="minorHAnsi"/>
          <w:b/>
          <w:bCs/>
        </w:rPr>
        <w:t xml:space="preserve">přehodnocení výsledku </w:t>
      </w:r>
      <w:r w:rsidRPr="00C24D02">
        <w:rPr>
          <w:rFonts w:asciiTheme="minorHAnsi" w:hAnsiTheme="minorHAnsi" w:cstheme="minorHAnsi"/>
        </w:rPr>
        <w:t xml:space="preserve">s ohledem na: </w:t>
      </w:r>
    </w:p>
    <w:p w14:paraId="16622B66" w14:textId="77777777" w:rsidR="00317816" w:rsidRPr="00C24D02" w:rsidRDefault="00317816" w:rsidP="00317816">
      <w:pPr>
        <w:numPr>
          <w:ilvl w:val="0"/>
          <w:numId w:val="13"/>
        </w:numPr>
        <w:spacing w:after="144" w:line="360" w:lineRule="auto"/>
        <w:ind w:left="709" w:hanging="567"/>
        <w:jc w:val="both"/>
        <w:rPr>
          <w:rFonts w:asciiTheme="minorHAnsi" w:hAnsiTheme="minorHAnsi" w:cstheme="minorHAnsi"/>
        </w:rPr>
      </w:pPr>
      <w:r w:rsidRPr="00C24D02">
        <w:rPr>
          <w:rFonts w:asciiTheme="minorHAnsi" w:hAnsiTheme="minorHAnsi" w:cstheme="minorHAnsi"/>
        </w:rPr>
        <w:t xml:space="preserve">doloženou platnost metody pro frakci PM10, </w:t>
      </w:r>
    </w:p>
    <w:p w14:paraId="4F27A160" w14:textId="77777777" w:rsidR="00317816" w:rsidRPr="00C24D02" w:rsidRDefault="00317816" w:rsidP="00317816">
      <w:pPr>
        <w:numPr>
          <w:ilvl w:val="0"/>
          <w:numId w:val="13"/>
        </w:numPr>
        <w:spacing w:after="144" w:line="360" w:lineRule="auto"/>
        <w:ind w:left="709" w:hanging="567"/>
        <w:jc w:val="both"/>
        <w:rPr>
          <w:rFonts w:asciiTheme="minorHAnsi" w:hAnsiTheme="minorHAnsi" w:cstheme="minorHAnsi"/>
        </w:rPr>
      </w:pPr>
      <w:r w:rsidRPr="00C24D02">
        <w:rPr>
          <w:rFonts w:asciiTheme="minorHAnsi" w:hAnsiTheme="minorHAnsi" w:cstheme="minorHAnsi"/>
        </w:rPr>
        <w:t xml:space="preserve">uznanou originalitu spočívající ve využití EC4 frakce jako indikátoru uhlíkových částic, </w:t>
      </w:r>
    </w:p>
    <w:p w14:paraId="3E66B7FE" w14:textId="77777777" w:rsidR="00317816" w:rsidRPr="00C24D02" w:rsidRDefault="00317816" w:rsidP="00317816">
      <w:pPr>
        <w:numPr>
          <w:ilvl w:val="0"/>
          <w:numId w:val="13"/>
        </w:numPr>
        <w:spacing w:after="144" w:line="360" w:lineRule="auto"/>
        <w:ind w:left="709" w:hanging="567"/>
        <w:jc w:val="both"/>
        <w:rPr>
          <w:rFonts w:asciiTheme="minorHAnsi" w:hAnsiTheme="minorHAnsi" w:cstheme="minorHAnsi"/>
        </w:rPr>
      </w:pPr>
      <w:r w:rsidRPr="00C24D02">
        <w:rPr>
          <w:rFonts w:asciiTheme="minorHAnsi" w:hAnsiTheme="minorHAnsi" w:cstheme="minorHAnsi"/>
        </w:rPr>
        <w:t xml:space="preserve">schválené a vynikající hodnocení projektu TA ČR, </w:t>
      </w:r>
    </w:p>
    <w:p w14:paraId="05AD5621" w14:textId="77777777" w:rsidR="00317816" w:rsidRPr="00C24D02" w:rsidRDefault="00317816" w:rsidP="00317816">
      <w:pPr>
        <w:numPr>
          <w:ilvl w:val="0"/>
          <w:numId w:val="13"/>
        </w:numPr>
        <w:spacing w:after="144" w:line="360" w:lineRule="auto"/>
        <w:ind w:left="709" w:hanging="567"/>
        <w:jc w:val="both"/>
        <w:rPr>
          <w:rFonts w:asciiTheme="minorHAnsi" w:hAnsiTheme="minorHAnsi" w:cstheme="minorHAnsi"/>
        </w:rPr>
      </w:pPr>
      <w:r w:rsidRPr="00C24D02">
        <w:rPr>
          <w:rFonts w:asciiTheme="minorHAnsi" w:hAnsiTheme="minorHAnsi" w:cstheme="minorHAnsi"/>
        </w:rPr>
        <w:t xml:space="preserve">absenci věcně zdůvodněného odchýlení panelu, a neobjektivní hodnocení posuzovatelů 1 a 2 v rámci kategorie </w:t>
      </w:r>
      <w:r w:rsidRPr="00C24D02">
        <w:rPr>
          <w:rFonts w:asciiTheme="minorHAnsi" w:hAnsiTheme="minorHAnsi" w:cstheme="minorHAnsi"/>
          <w:b/>
          <w:bCs/>
        </w:rPr>
        <w:t>přínos k poznání</w:t>
      </w:r>
      <w:r w:rsidRPr="00C24D02">
        <w:rPr>
          <w:rFonts w:asciiTheme="minorHAnsi" w:hAnsiTheme="minorHAnsi" w:cstheme="minorHAnsi"/>
        </w:rPr>
        <w:t xml:space="preserve">. </w:t>
      </w:r>
    </w:p>
    <w:p w14:paraId="65CDF51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Jsme přesvědčeni, že hodnocený výstup naplňuje kritéria pro </w:t>
      </w:r>
      <w:r w:rsidRPr="00C24D02">
        <w:rPr>
          <w:rFonts w:asciiTheme="minorHAnsi" w:hAnsiTheme="minorHAnsi" w:cstheme="minorHAnsi"/>
          <w:b/>
          <w:bCs/>
        </w:rPr>
        <w:t>vysoké či nadprůměrné hodnocení v rámci přínosu k poznání</w:t>
      </w:r>
      <w:r w:rsidRPr="00C24D02">
        <w:rPr>
          <w:rFonts w:asciiTheme="minorHAnsi" w:hAnsiTheme="minorHAnsi" w:cstheme="minorHAnsi"/>
        </w:rPr>
        <w:t xml:space="preserve">. </w:t>
      </w:r>
    </w:p>
    <w:p w14:paraId="293F9F8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 základě výše uvedených skutečností žádáme o </w:t>
      </w:r>
      <w:r w:rsidRPr="00C24D02">
        <w:rPr>
          <w:rFonts w:asciiTheme="minorHAnsi" w:hAnsiTheme="minorHAnsi" w:cstheme="minorHAnsi"/>
          <w:b/>
          <w:bCs/>
        </w:rPr>
        <w:t>přehodnocení udělené známky</w:t>
      </w:r>
      <w:r w:rsidRPr="00C24D02">
        <w:rPr>
          <w:rFonts w:asciiTheme="minorHAnsi" w:hAnsiTheme="minorHAnsi" w:cstheme="minorHAnsi"/>
        </w:rPr>
        <w:t xml:space="preserve">. Mapa plošné distribuce uhelných částic v celkové prašné depozici v okolí skládky uhlí v rámci kategorie </w:t>
      </w:r>
      <w:r w:rsidRPr="00C24D02">
        <w:rPr>
          <w:rFonts w:asciiTheme="minorHAnsi" w:hAnsiTheme="minorHAnsi" w:cstheme="minorHAnsi"/>
          <w:i/>
          <w:iCs/>
        </w:rPr>
        <w:t>přínos k poznání.</w:t>
      </w:r>
    </w:p>
    <w:p w14:paraId="08D7349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Autoři ve svém odvolání proti hodnocení výsledku popisují rozhodnutí panelu jako „odchýlení od hodnocení jednotlivých posudků“. Panel konstatuje, že celkové hodnocení se shoduje s jednou ze dvou známek hodnotitelů, a proto se o „odchýlení“ nejedná. Hodnotitelé se ve svých posudcích lišili pouze o jeden stupeň (hodnotitel č. 1 navrhl známku 4 a hodnotitel č. 2 navrhl známku č. 3). Celkové hodnocení 3,5, které by vzniklo zprůměrováním obou známek, systém hodnocení excelentních výstupů nezná. Panel tedy v reakci na odvolání doručené řešitelskou institucí konstatuje, že se nedopustil pochybení v procesním postupu. </w:t>
      </w:r>
      <w:r w:rsidRPr="00C24D02">
        <w:rPr>
          <w:rFonts w:asciiTheme="minorHAnsi" w:hAnsiTheme="minorHAnsi" w:cstheme="minorHAnsi"/>
        </w:rPr>
        <w:lastRenderedPageBreak/>
        <w:t>Panel poznamenává, že, pokud se jedná o přínos k poznání, nelze srovnávat s hodnocením v TAČRu. Kritéria TAČRu jsou spíše orientována na socioekonomickou relevanci. K odborným důvodům pro příklon k horší ze dvou známek náleží: Přínos k poznání není v mezinárodním kontextu průlomový. Výsledkem prací s novou kombinací již existujících metodik je případová studie lokálního významu. V řadě situací lze přijmout praktická rozhodnutí o dalším osudu skládky uhlí bez takto podrobné studie. Samotný cíl studie nebyl, opět ve srovnání s různými dalšími výsledky v daném oboru, příliš ambiciózní. Hodnotitelé ani panel nesnižují promyšlenost/propracovanost přístupu autorů a oceňují kvalitu užitých analytických metod. Panel souhlasí s hodnotitelem č. 2, který se implicitně pozastavuje nad opomenutím volby membránových filtrů pro vzorkováním prachu ze vzdušných mas ve výši, kde dochází v městské zástavbě ke vdechování aerosolu člověkem (autoři se rozhodli pro snadnější způsob odběru vzorků, spíše než ten nejvhodnější). Autoři v původním znění i při odvolání zmiňují situace, kdy teplárny umístěné v bytové zástavbě se zásobami uhlí uskladněného na volné ploše ohrožují zdraví místních obyvatel. V různých lokalitách velmi záleží na intenzitě větru a případné přemístění uskladněného uhlí bude záviset především na ekonomických možnostech majitele provozu. Odvolání nepřesvědčilo panel, že metoda je relevantní pro místa „s domácími topeništi využívajícími uhlí“. Není zřejmé, jaké opatření k zamezení prašnosti by mělo následovat, potom co v rezidenční oblasti (např. u rodinných domků) bylo složeno uhlí, které bude na zimní sezónu uskladněno ve sklepě. Panel naproti tomu uznává oprávněnost věcné námitky autorů vůči kritice hodnotitele č. 1, jež spočívala v tom, že „je nutná validace pro PM10“. Zmíněná publikace v časopise Environmental Science and Pollution Research takovou validaci obsahuje (tento časopis byl nedávno odstraněn ze scientometrické databáze Web of Science z důvodů, které se netýkají zmíněné publikace českých autorů). Panel se staví kriticky k předloženému zdůvodnění kvality výstupu. Více než 50 % celého textu je pouze převyprávěním obsahu studie (tím se negativně vymyká ve srovnání s pečlivosti, s jakou jsou formulovány silné stránky u jiných hodnocených projektů). Silné stránky výsledku byly stručně vyjmenovány až v závěru textu, přičemž je zde zdůrazňována praktická použitelnost, nehodnocená v přínosu k poznání. Panel se rozhodl i po projednání odvolání ponechat hodnocení tohoto výstupu známkou 4.</w:t>
      </w:r>
    </w:p>
    <w:p w14:paraId="430A4493"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7BF59790"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lastRenderedPageBreak/>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629E533D" w14:textId="19ACB2FC"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F2311C7" w14:textId="77777777" w:rsidTr="003D1A59">
        <w:tc>
          <w:tcPr>
            <w:tcW w:w="2405" w:type="dxa"/>
          </w:tcPr>
          <w:p w14:paraId="6EEC2BF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55F96A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VŠB-TUO - Fakulta elektrotechniky a informatiky</w:t>
            </w:r>
          </w:p>
        </w:tc>
      </w:tr>
      <w:tr w:rsidR="00317816" w:rsidRPr="00C24D02" w14:paraId="5DE21E44" w14:textId="77777777" w:rsidTr="003D1A59">
        <w:tc>
          <w:tcPr>
            <w:tcW w:w="2405" w:type="dxa"/>
          </w:tcPr>
          <w:p w14:paraId="2F6DF76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8B90AD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192540321</w:t>
            </w:r>
          </w:p>
        </w:tc>
      </w:tr>
      <w:tr w:rsidR="00317816" w:rsidRPr="00C24D02" w14:paraId="70A15F0D" w14:textId="77777777" w:rsidTr="003D1A59">
        <w:trPr>
          <w:trHeight w:val="741"/>
        </w:trPr>
        <w:tc>
          <w:tcPr>
            <w:tcW w:w="2405" w:type="dxa"/>
          </w:tcPr>
          <w:p w14:paraId="46B0051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9BF72B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Systém pro automatickou detekci plochých kol tramvajových vozů</w:t>
            </w:r>
          </w:p>
        </w:tc>
      </w:tr>
      <w:tr w:rsidR="00317816" w:rsidRPr="00C24D02" w14:paraId="49D715DE" w14:textId="77777777" w:rsidTr="003D1A59">
        <w:tc>
          <w:tcPr>
            <w:tcW w:w="2405" w:type="dxa"/>
          </w:tcPr>
          <w:p w14:paraId="79C85DD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6C6207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w:t>
            </w:r>
          </w:p>
        </w:tc>
      </w:tr>
      <w:tr w:rsidR="00317816" w:rsidRPr="00C24D02" w14:paraId="6EF54763" w14:textId="77777777" w:rsidTr="003D1A59">
        <w:tc>
          <w:tcPr>
            <w:tcW w:w="2405" w:type="dxa"/>
          </w:tcPr>
          <w:p w14:paraId="5B6ED3C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5BFED0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5FBCBB3E" w14:textId="77777777" w:rsidTr="003D1A59">
        <w:tc>
          <w:tcPr>
            <w:tcW w:w="2405" w:type="dxa"/>
          </w:tcPr>
          <w:p w14:paraId="52C087F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85"/>
            </w:r>
            <w:r w:rsidRPr="00C24D02">
              <w:rPr>
                <w:rFonts w:asciiTheme="minorHAnsi" w:eastAsia="Calibri" w:hAnsiTheme="minorHAnsi" w:cstheme="minorHAnsi"/>
              </w:rPr>
              <w:t>)</w:t>
            </w:r>
          </w:p>
        </w:tc>
        <w:tc>
          <w:tcPr>
            <w:tcW w:w="6378" w:type="dxa"/>
          </w:tcPr>
          <w:p w14:paraId="3F2DEBD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3/3/-/3</w:t>
            </w:r>
          </w:p>
        </w:tc>
      </w:tr>
      <w:tr w:rsidR="00317816" w:rsidRPr="00C24D02" w14:paraId="66AFC49E" w14:textId="77777777" w:rsidTr="003D1A59">
        <w:tc>
          <w:tcPr>
            <w:tcW w:w="2405" w:type="dxa"/>
          </w:tcPr>
          <w:p w14:paraId="66681F3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381D406"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0016C475" w14:textId="77777777" w:rsidR="00317816" w:rsidRPr="00C24D02" w:rsidRDefault="00317816" w:rsidP="00317816">
      <w:pPr>
        <w:spacing w:after="144" w:line="360" w:lineRule="auto"/>
        <w:rPr>
          <w:rFonts w:asciiTheme="minorHAnsi" w:hAnsiTheme="minorHAnsi" w:cstheme="minorHAnsi"/>
        </w:rPr>
      </w:pPr>
    </w:p>
    <w:p w14:paraId="047B74EE"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Věcné nesrovnalosti v hodnocení hodnotitelů</w:t>
      </w:r>
    </w:p>
    <w:p w14:paraId="0F41795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DD8226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Žádáme o revizi rozhodnutí s ohledem na níže uvedené věcné námitky. Naše argumentace se explicitně vztahuje k Metodice 2025+ (str. 15, slovník pro “Společenskou relevanci”) a k výtkám v posudcích.</w:t>
      </w:r>
    </w:p>
    <w:p w14:paraId="47AC115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1.Technická novost a originální přístup – reakce na citaci hodnotitele 1</w:t>
      </w:r>
    </w:p>
    <w:p w14:paraId="2F212087" w14:textId="77777777" w:rsidR="00317816" w:rsidRPr="00C24D02" w:rsidRDefault="00317816" w:rsidP="00317816">
      <w:pPr>
        <w:pStyle w:val="Odstavecseseznamem"/>
        <w:numPr>
          <w:ilvl w:val="0"/>
          <w:numId w:val="15"/>
        </w:numPr>
        <w:spacing w:after="144" w:line="360" w:lineRule="auto"/>
        <w:jc w:val="both"/>
        <w:rPr>
          <w:rFonts w:asciiTheme="minorHAnsi" w:hAnsiTheme="minorHAnsi" w:cstheme="minorHAnsi"/>
        </w:rPr>
      </w:pPr>
      <w:r w:rsidRPr="00C24D02">
        <w:rPr>
          <w:rFonts w:asciiTheme="minorHAnsi" w:hAnsiTheme="minorHAnsi" w:cstheme="minorHAnsi"/>
        </w:rPr>
        <w:t>Co hodnotitel uvádí: “Nejde o výrazně inovativní výsledek; aplikace stávajících principů; v patentu je zdůrazněno mechanické provedení, které není klíčové.”</w:t>
      </w:r>
    </w:p>
    <w:p w14:paraId="24E99530" w14:textId="77777777" w:rsidR="00317816" w:rsidRPr="00C24D02" w:rsidRDefault="00317816" w:rsidP="00317816">
      <w:pPr>
        <w:pStyle w:val="Odstavecseseznamem"/>
        <w:numPr>
          <w:ilvl w:val="0"/>
          <w:numId w:val="15"/>
        </w:numPr>
        <w:spacing w:after="144" w:line="360" w:lineRule="auto"/>
        <w:jc w:val="both"/>
        <w:rPr>
          <w:rFonts w:asciiTheme="minorHAnsi" w:hAnsiTheme="minorHAnsi" w:cstheme="minorHAnsi"/>
        </w:rPr>
      </w:pPr>
      <w:r w:rsidRPr="00C24D02">
        <w:rPr>
          <w:rFonts w:asciiTheme="minorHAnsi" w:hAnsiTheme="minorHAnsi" w:cstheme="minorHAnsi"/>
        </w:rPr>
        <w:t>Naše protiargumenty opřené o patent č. 309233:</w:t>
      </w:r>
    </w:p>
    <w:p w14:paraId="300D2A7B" w14:textId="77777777" w:rsidR="00317816" w:rsidRPr="00C24D02" w:rsidRDefault="00317816" w:rsidP="00317816">
      <w:pPr>
        <w:pStyle w:val="Odstavecseseznamem"/>
        <w:numPr>
          <w:ilvl w:val="0"/>
          <w:numId w:val="16"/>
        </w:numPr>
        <w:spacing w:after="144" w:line="360" w:lineRule="auto"/>
        <w:jc w:val="both"/>
        <w:rPr>
          <w:rFonts w:asciiTheme="minorHAnsi" w:hAnsiTheme="minorHAnsi" w:cstheme="minorHAnsi"/>
        </w:rPr>
      </w:pPr>
      <w:r w:rsidRPr="00C24D02">
        <w:rPr>
          <w:rFonts w:asciiTheme="minorHAnsi" w:hAnsiTheme="minorHAnsi" w:cstheme="minorHAnsi"/>
        </w:rPr>
        <w:t>Originalita spočívá v kombinaci více prvků a integračním řešení pro reálný tramvajový provoz, nikoli v jediné izolované komponentě:</w:t>
      </w:r>
    </w:p>
    <w:p w14:paraId="04237493" w14:textId="77777777" w:rsidR="00317816" w:rsidRPr="00C24D02" w:rsidRDefault="00317816" w:rsidP="00317816">
      <w:pPr>
        <w:pStyle w:val="Odstavecseseznamem"/>
        <w:numPr>
          <w:ilvl w:val="0"/>
          <w:numId w:val="17"/>
        </w:numPr>
        <w:spacing w:after="144" w:line="360" w:lineRule="auto"/>
        <w:jc w:val="both"/>
        <w:rPr>
          <w:rFonts w:asciiTheme="minorHAnsi" w:hAnsiTheme="minorHAnsi" w:cstheme="minorHAnsi"/>
        </w:rPr>
      </w:pPr>
      <w:r w:rsidRPr="00C24D02">
        <w:rPr>
          <w:rFonts w:asciiTheme="minorHAnsi" w:hAnsiTheme="minorHAnsi" w:cstheme="minorHAnsi"/>
        </w:rPr>
        <w:lastRenderedPageBreak/>
        <w:t>▪Senzorické a záznamové uspořádání optimalizované pro průjezdové body a omezující rušivé vlivy typické pro městský provoz (vibrace, hluk, proměnlivé rychlosti, povětrnostní vlivy).</w:t>
      </w:r>
    </w:p>
    <w:p w14:paraId="5F3BCE3E" w14:textId="77777777" w:rsidR="00317816" w:rsidRPr="00C24D02" w:rsidRDefault="00317816" w:rsidP="00317816">
      <w:pPr>
        <w:pStyle w:val="Odstavecseseznamem"/>
        <w:numPr>
          <w:ilvl w:val="0"/>
          <w:numId w:val="17"/>
        </w:numPr>
        <w:spacing w:after="144" w:line="360" w:lineRule="auto"/>
        <w:jc w:val="both"/>
        <w:rPr>
          <w:rFonts w:asciiTheme="minorHAnsi" w:hAnsiTheme="minorHAnsi" w:cstheme="minorHAnsi"/>
        </w:rPr>
      </w:pPr>
      <w:r w:rsidRPr="00C24D02">
        <w:rPr>
          <w:rFonts w:asciiTheme="minorHAnsi" w:hAnsiTheme="minorHAnsi" w:cstheme="minorHAnsi"/>
        </w:rPr>
        <w:t>▪Zpracování signálu a detekční logika přizpůsobená krátkému průjezdu kola přes měřicí místo s důrazem na robustní rozlišení plochosti oproti jiným defektům a artefaktům.</w:t>
      </w:r>
    </w:p>
    <w:p w14:paraId="14640C20" w14:textId="77777777" w:rsidR="00317816" w:rsidRPr="00C24D02" w:rsidRDefault="00317816" w:rsidP="00317816">
      <w:pPr>
        <w:pStyle w:val="Odstavecseseznamem"/>
        <w:numPr>
          <w:ilvl w:val="0"/>
          <w:numId w:val="17"/>
        </w:numPr>
        <w:spacing w:after="144" w:line="360" w:lineRule="auto"/>
        <w:jc w:val="both"/>
        <w:rPr>
          <w:rFonts w:asciiTheme="minorHAnsi" w:hAnsiTheme="minorHAnsi" w:cstheme="minorHAnsi"/>
        </w:rPr>
      </w:pPr>
      <w:r w:rsidRPr="00C24D02">
        <w:rPr>
          <w:rFonts w:asciiTheme="minorHAnsi" w:hAnsiTheme="minorHAnsi" w:cstheme="minorHAnsi"/>
        </w:rPr>
        <w:t>▪Integrace do provozních systémů DPO (workflow údržby, evidence, notifikace), aby detekce nebyla jen “měření”, ale skutečně akceschopný provozní nástroj.</w:t>
      </w:r>
    </w:p>
    <w:p w14:paraId="5D31D4CE" w14:textId="77777777" w:rsidR="00317816" w:rsidRPr="00C24D02" w:rsidRDefault="00317816" w:rsidP="00317816">
      <w:pPr>
        <w:pStyle w:val="Odstavecseseznamem"/>
        <w:numPr>
          <w:ilvl w:val="0"/>
          <w:numId w:val="18"/>
        </w:numPr>
        <w:spacing w:after="144" w:line="360" w:lineRule="auto"/>
        <w:jc w:val="both"/>
        <w:rPr>
          <w:rFonts w:asciiTheme="minorHAnsi" w:hAnsiTheme="minorHAnsi" w:cstheme="minorHAnsi"/>
        </w:rPr>
      </w:pPr>
      <w:r w:rsidRPr="00C24D02">
        <w:rPr>
          <w:rFonts w:asciiTheme="minorHAnsi" w:hAnsiTheme="minorHAnsi" w:cstheme="minorHAnsi"/>
        </w:rPr>
        <w:t>Patentová ochrana byla udělena právě proto, že soubor těchto prvků tvoří nový, ne triviální celek s vynálezeckou činností. Mechanické provedení je pouze jedna vrstva řešení; funkční přínos vzniká kombinací konstrukce, signálového zpracování a integračně-provozních vazeb.</w:t>
      </w:r>
    </w:p>
    <w:p w14:paraId="5BBDD0FB" w14:textId="77777777" w:rsidR="00317816" w:rsidRPr="00C24D02" w:rsidRDefault="00317816" w:rsidP="00317816">
      <w:pPr>
        <w:pStyle w:val="Odstavecseseznamem"/>
        <w:numPr>
          <w:ilvl w:val="0"/>
          <w:numId w:val="18"/>
        </w:numPr>
        <w:spacing w:after="144" w:line="360" w:lineRule="auto"/>
        <w:jc w:val="both"/>
        <w:rPr>
          <w:rFonts w:asciiTheme="minorHAnsi" w:hAnsiTheme="minorHAnsi" w:cstheme="minorHAnsi"/>
        </w:rPr>
      </w:pPr>
      <w:r w:rsidRPr="00C24D02">
        <w:rPr>
          <w:rFonts w:asciiTheme="minorHAnsi" w:hAnsiTheme="minorHAnsi" w:cstheme="minorHAnsi"/>
        </w:rPr>
        <w:t>Vzhledem k tomu, že i hodnotitel připouští více mechanických realizací “bez ztráty funkčnosti”, jde ve skutečnosti o argument pro nadřazený princip řešení (tj. novost je v principu a architektuře systému, ne v jediné mechanické variantě).</w:t>
      </w:r>
    </w:p>
    <w:p w14:paraId="1C07077A" w14:textId="77777777" w:rsidR="00317816" w:rsidRPr="00C24D02" w:rsidRDefault="00317816" w:rsidP="00317816">
      <w:pPr>
        <w:pStyle w:val="Odstavecseseznamem"/>
        <w:spacing w:after="144" w:line="360" w:lineRule="auto"/>
        <w:ind w:left="1077"/>
        <w:jc w:val="both"/>
        <w:rPr>
          <w:rFonts w:asciiTheme="minorHAnsi" w:hAnsiTheme="minorHAnsi" w:cstheme="minorHAnsi"/>
        </w:rPr>
      </w:pPr>
      <w:r w:rsidRPr="00C24D02">
        <w:rPr>
          <w:rFonts w:asciiTheme="minorHAnsi" w:hAnsiTheme="minorHAnsi" w:cstheme="minorHAnsi"/>
        </w:rPr>
        <w:t>Upřesnění k patentu a rozsahu řešení: Patent nereprezentuje celý systém; patentovaná část slouží primárně k uchycení/uložení senzorů. Dodaný systém je komplexní: (i) HW část – senzoricko-optická, výpočetní a komunikační; (ii) SW část – detekce průjezdu, pokročilé zpracování signálu ze senzorů, detekce plochého kola, post-processing/statistiky vozového parku. Systém je dostupný technickému personálu jako webová služba s důrazem na aktuální poruchy s vyšším významem a statistické ukazatele trendu poškození jednotlivých vozů. Originalita spočívá v integračním a provozně robustním řešení pro tramvajový provoz, nikoli v jediné mechanické variantě………</w:t>
      </w:r>
    </w:p>
    <w:p w14:paraId="54B68213" w14:textId="77777777" w:rsidR="00317816" w:rsidRPr="00C24D02" w:rsidRDefault="00317816" w:rsidP="00317816">
      <w:pPr>
        <w:pStyle w:val="Default"/>
        <w:numPr>
          <w:ilvl w:val="0"/>
          <w:numId w:val="20"/>
        </w:numPr>
        <w:ind w:left="426"/>
        <w:rPr>
          <w:rFonts w:asciiTheme="minorHAnsi" w:hAnsiTheme="minorHAnsi" w:cstheme="minorHAnsi"/>
          <w:sz w:val="22"/>
          <w:szCs w:val="22"/>
        </w:rPr>
      </w:pPr>
      <w:r w:rsidRPr="00C24D02">
        <w:rPr>
          <w:rFonts w:asciiTheme="minorHAnsi" w:hAnsiTheme="minorHAnsi" w:cstheme="minorHAnsi"/>
          <w:sz w:val="22"/>
          <w:szCs w:val="22"/>
        </w:rPr>
        <w:t xml:space="preserve">Závěr </w:t>
      </w:r>
    </w:p>
    <w:p w14:paraId="78A8F9ED" w14:textId="77777777" w:rsidR="00317816" w:rsidRPr="00C24D02" w:rsidRDefault="00317816" w:rsidP="00317816">
      <w:pPr>
        <w:numPr>
          <w:ilvl w:val="0"/>
          <w:numId w:val="21"/>
        </w:numPr>
        <w:spacing w:after="144" w:line="360" w:lineRule="auto"/>
        <w:ind w:left="567" w:hanging="283"/>
        <w:jc w:val="both"/>
        <w:rPr>
          <w:rFonts w:asciiTheme="minorHAnsi" w:hAnsiTheme="minorHAnsi" w:cstheme="minorHAnsi"/>
        </w:rPr>
      </w:pPr>
      <w:r w:rsidRPr="00C24D02">
        <w:rPr>
          <w:rFonts w:asciiTheme="minorHAnsi" w:hAnsiTheme="minorHAnsi" w:cstheme="minorHAnsi"/>
        </w:rPr>
        <w:t xml:space="preserve">Námitka “nízké inovace” je neudržitelná v kontextu vynálezecké činnosti uznané patentem a integrační novosti v prostředí MHD. </w:t>
      </w:r>
    </w:p>
    <w:p w14:paraId="0588EFF0" w14:textId="77777777" w:rsidR="00317816" w:rsidRPr="00C24D02" w:rsidRDefault="00317816" w:rsidP="00317816">
      <w:pPr>
        <w:numPr>
          <w:ilvl w:val="0"/>
          <w:numId w:val="21"/>
        </w:numPr>
        <w:spacing w:after="144" w:line="360" w:lineRule="auto"/>
        <w:ind w:left="567" w:hanging="283"/>
        <w:jc w:val="both"/>
        <w:rPr>
          <w:rFonts w:asciiTheme="minorHAnsi" w:hAnsiTheme="minorHAnsi" w:cstheme="minorHAnsi"/>
        </w:rPr>
      </w:pPr>
      <w:r w:rsidRPr="00C24D02">
        <w:rPr>
          <w:rFonts w:asciiTheme="minorHAnsi" w:hAnsiTheme="minorHAnsi" w:cstheme="minorHAnsi"/>
        </w:rPr>
        <w:lastRenderedPageBreak/>
        <w:t xml:space="preserve">Žádáme o přehodnocení původního verdiktu s přihlédnutím k výše uvedeným specifickým protiargumentům vůči textu posudku hodnotitele 1 a k verbálnímu hodnocení hodnotitele 2. </w:t>
      </w:r>
    </w:p>
    <w:p w14:paraId="716980F5" w14:textId="77777777" w:rsidR="00317816" w:rsidRPr="00C24D02" w:rsidRDefault="00317816" w:rsidP="00317816">
      <w:pPr>
        <w:pStyle w:val="Odstavecseseznamem"/>
        <w:spacing w:after="144" w:line="360" w:lineRule="auto"/>
        <w:ind w:left="0"/>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w:t>
      </w:r>
    </w:p>
    <w:p w14:paraId="77852EBC" w14:textId="77777777" w:rsidR="00317816" w:rsidRPr="00C24D02" w:rsidRDefault="00317816" w:rsidP="00317816">
      <w:pPr>
        <w:pStyle w:val="Odstavecseseznamem"/>
        <w:spacing w:after="144" w:line="360" w:lineRule="auto"/>
        <w:ind w:left="0"/>
        <w:jc w:val="both"/>
        <w:rPr>
          <w:rFonts w:asciiTheme="minorHAnsi" w:hAnsiTheme="minorHAnsi" w:cstheme="minorHAnsi"/>
        </w:rPr>
      </w:pPr>
      <w:r w:rsidRPr="00C24D02">
        <w:rPr>
          <w:rFonts w:asciiTheme="minorHAnsi" w:hAnsiTheme="minorHAnsi" w:cstheme="minorHAnsi"/>
        </w:rPr>
        <w:t>Vyjádření hodnotitele 1: Hodnocení známkou 3 (výsledek na velmi dobré úrovni, jehož využití v praxi přinese změnu s ekonomickým dopadem na českém trhu nebo změnu s dopadem na společnost (reálný předpoklad uplatnění v oblastech veřejného zájmu)) odpovídá hodnocenému výsledku, a to i ve srovnání s kvalitou ostatních posuzovaných výsledků. Nejde o výrazně inovativní výsledek (neboť je založen na známých principech) a patentované řešení je jednou z mnoha možných mechanických realizací (protiřečící si argumenty v odrážkách 1 a 3 prvního bodu stížnosti, kde autoři vyzdvihují originalitu a na druhé straně připouští mnohá další řešení). Rovněž LOI po prozkoumání aktuální situace firmy Safibra považuji za slabý doklad komerční úspěšnosti v zahraničí. Žádný jiný přímý důkaz komerční úspěšnosti na zahraničním trhu není přiložen.</w:t>
      </w:r>
    </w:p>
    <w:p w14:paraId="4B5EECB0" w14:textId="77777777" w:rsidR="00317816" w:rsidRPr="00C24D02" w:rsidRDefault="00317816" w:rsidP="00317816">
      <w:pPr>
        <w:pStyle w:val="Odstavecseseznamem"/>
        <w:spacing w:after="144" w:line="360" w:lineRule="auto"/>
        <w:ind w:left="0"/>
        <w:jc w:val="both"/>
        <w:rPr>
          <w:rFonts w:asciiTheme="minorHAnsi" w:hAnsiTheme="minorHAnsi" w:cstheme="minorHAnsi"/>
        </w:rPr>
      </w:pPr>
      <w:r w:rsidRPr="00C24D02">
        <w:rPr>
          <w:rFonts w:asciiTheme="minorHAnsi" w:hAnsiTheme="minorHAnsi" w:cstheme="minorHAnsi"/>
        </w:rPr>
        <w:t>Vyjádření hodnotitele 2: Předložený výsledek, po opětovném posouzení a s přihlédnutím k požadavkům na hodnocení dle kritéria "společenská relevance", hodnotím opětovně známkou 3 (výsledek na velmi dobré úrovni, jehož využití v praxi přinese změnu s ekonomickým dopadem na českém trhu nebo změnu s dopadem na společnost; reálný předpoklad uplatnění v oblastech veřejného zájmu). Výtka k rozporu mezi slovním hodnocením "velmi dobrý" a známkou 3 tedy není opodstatněná. Panelista souhlasí se stanoviskem Hodnotitelů.</w:t>
      </w:r>
    </w:p>
    <w:p w14:paraId="13AB08A9" w14:textId="77777777" w:rsidR="00317816" w:rsidRPr="00C24D02" w:rsidRDefault="00317816" w:rsidP="00317816">
      <w:pPr>
        <w:pStyle w:val="Odstavecseseznamem"/>
        <w:spacing w:before="120" w:after="120" w:line="360" w:lineRule="auto"/>
        <w:ind w:left="0"/>
        <w:contextualSpacing w:val="0"/>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3.</w:t>
      </w:r>
    </w:p>
    <w:p w14:paraId="23780460"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bookmarkStart w:id="29" w:name="_Hlk220607355"/>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6EAB7395" w14:textId="115B2599" w:rsidR="00317816" w:rsidRPr="00C24D02" w:rsidRDefault="00317816" w:rsidP="003C778F">
      <w:pPr>
        <w:pStyle w:val="Odstavecseseznamem"/>
        <w:spacing w:line="360" w:lineRule="auto"/>
        <w:ind w:left="0"/>
        <w:contextualSpacing w:val="0"/>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3, které bylo uděleno podle stávajících pravidel. Odvolání přináší upřesnění přínosů a technické novosti výsledku, nicméně nepředkládá nové skutečnosti prokazující mezinárodní společenský dopad.</w:t>
      </w:r>
      <w:bookmarkEnd w:id="29"/>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C09BF78" w14:textId="77777777" w:rsidTr="003D1A59">
        <w:tc>
          <w:tcPr>
            <w:tcW w:w="2405" w:type="dxa"/>
          </w:tcPr>
          <w:p w14:paraId="427E082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80B7EB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VŠB-TUO - IT4INNOVATIONS</w:t>
            </w:r>
          </w:p>
        </w:tc>
      </w:tr>
      <w:tr w:rsidR="00317816" w:rsidRPr="00C24D02" w14:paraId="2DE151AB" w14:textId="77777777" w:rsidTr="003D1A59">
        <w:tc>
          <w:tcPr>
            <w:tcW w:w="2405" w:type="dxa"/>
          </w:tcPr>
          <w:p w14:paraId="4D03626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15E283A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192541387</w:t>
            </w:r>
          </w:p>
        </w:tc>
      </w:tr>
      <w:tr w:rsidR="00317816" w:rsidRPr="00C24D02" w14:paraId="778DEABD" w14:textId="77777777" w:rsidTr="003D1A59">
        <w:trPr>
          <w:trHeight w:val="741"/>
        </w:trPr>
        <w:tc>
          <w:tcPr>
            <w:tcW w:w="2405" w:type="dxa"/>
          </w:tcPr>
          <w:p w14:paraId="3806E93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C2D792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Bheappe Add-on v. 2.0</w:t>
            </w:r>
          </w:p>
        </w:tc>
      </w:tr>
      <w:tr w:rsidR="00317816" w:rsidRPr="00C24D02" w14:paraId="28D58FB4" w14:textId="77777777" w:rsidTr="003D1A59">
        <w:tc>
          <w:tcPr>
            <w:tcW w:w="2405" w:type="dxa"/>
          </w:tcPr>
          <w:p w14:paraId="1A73549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FORD</w:t>
            </w:r>
          </w:p>
        </w:tc>
        <w:tc>
          <w:tcPr>
            <w:tcW w:w="6378" w:type="dxa"/>
          </w:tcPr>
          <w:p w14:paraId="557FF48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1.2</w:t>
            </w:r>
          </w:p>
        </w:tc>
      </w:tr>
      <w:tr w:rsidR="00317816" w:rsidRPr="00C24D02" w14:paraId="3CB19D59" w14:textId="77777777" w:rsidTr="003D1A59">
        <w:tc>
          <w:tcPr>
            <w:tcW w:w="2405" w:type="dxa"/>
          </w:tcPr>
          <w:p w14:paraId="23F6B50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A8A74D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0D9EB126" w14:textId="77777777" w:rsidTr="003D1A59">
        <w:tc>
          <w:tcPr>
            <w:tcW w:w="2405" w:type="dxa"/>
          </w:tcPr>
          <w:p w14:paraId="04EE241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86"/>
            </w:r>
            <w:r w:rsidRPr="00C24D02">
              <w:rPr>
                <w:rFonts w:asciiTheme="minorHAnsi" w:eastAsia="Calibri" w:hAnsiTheme="minorHAnsi" w:cstheme="minorHAnsi"/>
              </w:rPr>
              <w:t>)</w:t>
            </w:r>
          </w:p>
        </w:tc>
        <w:tc>
          <w:tcPr>
            <w:tcW w:w="6378" w:type="dxa"/>
          </w:tcPr>
          <w:p w14:paraId="3EEC62F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5/2/5/5</w:t>
            </w:r>
          </w:p>
        </w:tc>
      </w:tr>
      <w:tr w:rsidR="00317816" w:rsidRPr="00C24D02" w14:paraId="6F8BC207" w14:textId="77777777" w:rsidTr="003D1A59">
        <w:tc>
          <w:tcPr>
            <w:tcW w:w="2405" w:type="dxa"/>
          </w:tcPr>
          <w:p w14:paraId="1BFEB07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4C548EF"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5.</w:t>
            </w:r>
          </w:p>
        </w:tc>
      </w:tr>
    </w:tbl>
    <w:p w14:paraId="5F9F7223" w14:textId="77777777" w:rsidR="00317816" w:rsidRPr="00C24D02" w:rsidRDefault="00317816" w:rsidP="00317816">
      <w:pPr>
        <w:spacing w:after="144" w:line="360" w:lineRule="auto"/>
        <w:rPr>
          <w:rFonts w:asciiTheme="minorHAnsi" w:hAnsiTheme="minorHAnsi" w:cstheme="minorHAnsi"/>
        </w:rPr>
      </w:pPr>
    </w:p>
    <w:p w14:paraId="02EAA2A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Významný výsledek</w:t>
      </w:r>
    </w:p>
    <w:p w14:paraId="7E6D9BE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E02ED9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Tímto odvoláním reagujeme na hodnocení výsledku </w:t>
      </w:r>
      <w:r w:rsidRPr="00C24D02">
        <w:rPr>
          <w:rFonts w:asciiTheme="minorHAnsi" w:hAnsiTheme="minorHAnsi" w:cstheme="minorHAnsi"/>
          <w:b/>
          <w:bCs/>
        </w:rPr>
        <w:t>Bheappe Add-on v. 2.0</w:t>
      </w:r>
      <w:r w:rsidRPr="00C24D02">
        <w:rPr>
          <w:rFonts w:asciiTheme="minorHAnsi" w:hAnsiTheme="minorHAnsi" w:cstheme="minorHAnsi"/>
        </w:rPr>
        <w:t xml:space="preserve">. Daný výsledek je samostatným modulem v jazyce Python pro software Blender. Modul umožňuje rendering 3D scén na superpočítačovém klastru efektivně přímo z prostředí Blender uživatelova počítače. Nástroj vychází z původních vědeckých výsledků autorského kolektivu v oblasti vizualizací a renderingu. Rendering je možné offloadovat na různé evropské a nově i americké klastry, ke kterým má uživatel zřízen přístup. </w:t>
      </w:r>
    </w:p>
    <w:p w14:paraId="6160E62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Vzhledem k tomu, že nástroj zásadně zjednodušuje uživateli použití klastru pro rendering, je aktuálně používáno v několika národních a mezinárodních projektech, používají jej uživatelé i mimo autorský kolektiv, nesouhlasíme se současným hodnocením stupněm 5, který nepovažujeme za dostatečně reflektující význam a přínos tohoto výsledku. Výsledek má nejen český, ale i mezinárodní společenský dopad. Pro umožnění ještě větší míry společenského dopadu v budoucnu jsme se rozhodli původní repozitář s nástrojem (https://code.it4i.cz/raas/bheappe) přesunout z GitLab uložiště IT4Innovations na GitHub (https://github.com/It4innovations/braas-hpc) a upravit název díla tak, aby vhodněji vystihoval jeho předmět a účel. </w:t>
      </w:r>
    </w:p>
    <w:p w14:paraId="5D6A90D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Pevně věříme, že po důkladném posouzení všech zde uvedených skutečností a zejména doplnění potřebných informací, bude naší žádosti o revizi hodnocení vyhověno a přínosy navrhovaného řešení budou patřičně oceněny. ……</w:t>
      </w:r>
    </w:p>
    <w:p w14:paraId="5C43F2D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lastRenderedPageBreak/>
        <w:t xml:space="preserve">…….4. Závěr a návrh na přehodnocení </w:t>
      </w:r>
    </w:p>
    <w:p w14:paraId="35C8987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 základě výše uvedených argumentů si myslíme, že: </w:t>
      </w:r>
    </w:p>
    <w:p w14:paraId="6B8E166C" w14:textId="77777777" w:rsidR="00317816" w:rsidRPr="00C24D02" w:rsidRDefault="00317816" w:rsidP="00317816">
      <w:pPr>
        <w:numPr>
          <w:ilvl w:val="0"/>
          <w:numId w:val="22"/>
        </w:numPr>
        <w:spacing w:after="144" w:line="360" w:lineRule="auto"/>
        <w:ind w:left="851" w:hanging="567"/>
        <w:jc w:val="both"/>
        <w:rPr>
          <w:rFonts w:asciiTheme="minorHAnsi" w:hAnsiTheme="minorHAnsi" w:cstheme="minorHAnsi"/>
        </w:rPr>
      </w:pPr>
      <w:r w:rsidRPr="00C24D02">
        <w:rPr>
          <w:rFonts w:asciiTheme="minorHAnsi" w:hAnsiTheme="minorHAnsi" w:cstheme="minorHAnsi"/>
        </w:rPr>
        <w:t xml:space="preserve">výsledek splňuje znaky R-software (původní návrh, novost, rozšíření znalostí); </w:t>
      </w:r>
    </w:p>
    <w:p w14:paraId="44FF1D7A" w14:textId="77777777" w:rsidR="00317816" w:rsidRPr="00C24D02" w:rsidRDefault="00317816" w:rsidP="00317816">
      <w:pPr>
        <w:numPr>
          <w:ilvl w:val="0"/>
          <w:numId w:val="22"/>
        </w:numPr>
        <w:spacing w:after="144" w:line="360" w:lineRule="auto"/>
        <w:ind w:left="851" w:hanging="567"/>
        <w:jc w:val="both"/>
        <w:rPr>
          <w:rFonts w:asciiTheme="minorHAnsi" w:hAnsiTheme="minorHAnsi" w:cstheme="minorHAnsi"/>
        </w:rPr>
      </w:pPr>
      <w:r w:rsidRPr="00C24D02">
        <w:rPr>
          <w:rFonts w:asciiTheme="minorHAnsi" w:hAnsiTheme="minorHAnsi" w:cstheme="minorHAnsi"/>
        </w:rPr>
        <w:t xml:space="preserve">je technicky inovativní (unikátní integrace Blender–Slurm–HPC); </w:t>
      </w:r>
    </w:p>
    <w:p w14:paraId="0A1AAF0F" w14:textId="77777777" w:rsidR="00317816" w:rsidRPr="00C24D02" w:rsidRDefault="00317816" w:rsidP="00317816">
      <w:pPr>
        <w:numPr>
          <w:ilvl w:val="0"/>
          <w:numId w:val="22"/>
        </w:numPr>
        <w:spacing w:after="144" w:line="360" w:lineRule="auto"/>
        <w:ind w:left="851" w:hanging="567"/>
        <w:jc w:val="both"/>
        <w:rPr>
          <w:rFonts w:asciiTheme="minorHAnsi" w:hAnsiTheme="minorHAnsi" w:cstheme="minorHAnsi"/>
        </w:rPr>
      </w:pPr>
      <w:r w:rsidRPr="00C24D02">
        <w:rPr>
          <w:rFonts w:asciiTheme="minorHAnsi" w:hAnsiTheme="minorHAnsi" w:cstheme="minorHAnsi"/>
        </w:rPr>
        <w:t xml:space="preserve">má doložené uživatele, je nasazen na řadě evropských a dvou amerických superpočítačích a má jasně demonstrovaný společenský dopad nejen pro akademickou ale i komerční sféru. </w:t>
      </w:r>
    </w:p>
    <w:p w14:paraId="3CBA8ED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Navrhujeme proto přehodnocení známky a zohlednění technické kvality, inovativnosti a praktického dopadu výsledku. Děkujeme za zvážení naší žádosti a jsme připraveni poskytnout jakékoli další informace či upřesnění, které by mohly napomoci k objektivnímu posouzení tohoto odvolání.</w:t>
      </w:r>
    </w:p>
    <w:p w14:paraId="5C06B76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Námitka zdůrazňuje, že Bheappe Add-on je unikátní integrací na více HPC klastrů se Slurm/PBS a je doloženě využíván v řadě národních i mezinárodních projektů (SPACE, InnovAIte, REFRESH, TAČR projekty, Fraunhofer ICT, Argonne aj.). Z pohledu definice výsledku typu R-software však argumentace směřuje k technické kvalitě implementace, unikátní kombinaci existujících technologií a rozsahu nasazení, nikoli k jasně formulovanému rozšíření poznání či k obecně zobecnitelnému novému způsobu využití známých principů. Metodika M17+ (Definice druhů výsledků – samostatná příloha č. 4 Metodiky hodnocení výzkumných organizací a programů účelové podpory VaVaI (M17+), schválené usnesením vlády ČR 8. 2. 2017 č. 107, aktualizováno 29. 11. 2017 č. 837) jasně říká: “Software musí přinášet takový prvek novosti a pokroku do oblasti počítačových programů, které znamenají zvýšení objemu znalostí. Využití software pro novou aplikaci nebo k novému účelu však nemůže samo o sobě představovat takový pokrok”. Předložený software je technicky velmi kvalitní a společensky užitečný, avšak nesplňuje prvek rozšíření poznání nebo užití poznání novým způsobem, a tedy nesplňuje požadavky ve smyslu hodnocení VaVI. Odborný panel setrvává na svém původním rozhodnutí ohledně hodnocení výsledku.</w:t>
      </w:r>
    </w:p>
    <w:p w14:paraId="08B5E5F3"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4543495C"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6C031747" w14:textId="4E989FF2"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lastRenderedPageBreak/>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5ECC86B" w14:textId="77777777" w:rsidTr="003D1A59">
        <w:tc>
          <w:tcPr>
            <w:tcW w:w="2405" w:type="dxa"/>
          </w:tcPr>
          <w:p w14:paraId="4DA0FEC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345AAEB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VÚTS</w:t>
            </w:r>
          </w:p>
        </w:tc>
      </w:tr>
      <w:tr w:rsidR="00317816" w:rsidRPr="00C24D02" w14:paraId="2DCA825C" w14:textId="77777777" w:rsidTr="003D1A59">
        <w:tc>
          <w:tcPr>
            <w:tcW w:w="2405" w:type="dxa"/>
          </w:tcPr>
          <w:p w14:paraId="37D17DF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ADA8FC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192503531</w:t>
            </w:r>
          </w:p>
        </w:tc>
      </w:tr>
      <w:tr w:rsidR="00317816" w:rsidRPr="00C24D02" w14:paraId="4449034B" w14:textId="77777777" w:rsidTr="003D1A59">
        <w:trPr>
          <w:trHeight w:val="741"/>
        </w:trPr>
        <w:tc>
          <w:tcPr>
            <w:tcW w:w="2405" w:type="dxa"/>
          </w:tcPr>
          <w:p w14:paraId="4CF7DEC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C29A26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Pneumatický výtah pro manipulaci s paletami</w:t>
            </w:r>
          </w:p>
        </w:tc>
      </w:tr>
      <w:tr w:rsidR="00317816" w:rsidRPr="00C24D02" w14:paraId="33D83A29" w14:textId="77777777" w:rsidTr="003D1A59">
        <w:tc>
          <w:tcPr>
            <w:tcW w:w="2405" w:type="dxa"/>
          </w:tcPr>
          <w:p w14:paraId="401029F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4726BAC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692A6784" w14:textId="77777777" w:rsidTr="003D1A59">
        <w:tc>
          <w:tcPr>
            <w:tcW w:w="2405" w:type="dxa"/>
          </w:tcPr>
          <w:p w14:paraId="093C16E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6146835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52CAF161" w14:textId="77777777" w:rsidTr="003D1A59">
        <w:tc>
          <w:tcPr>
            <w:tcW w:w="2405" w:type="dxa"/>
          </w:tcPr>
          <w:p w14:paraId="1AD21FE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87"/>
            </w:r>
            <w:r w:rsidRPr="00C24D02">
              <w:rPr>
                <w:rFonts w:asciiTheme="minorHAnsi" w:eastAsia="Calibri" w:hAnsiTheme="minorHAnsi" w:cstheme="minorHAnsi"/>
              </w:rPr>
              <w:t>)</w:t>
            </w:r>
          </w:p>
        </w:tc>
        <w:tc>
          <w:tcPr>
            <w:tcW w:w="6378" w:type="dxa"/>
          </w:tcPr>
          <w:p w14:paraId="0A1E987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4/5/-/5</w:t>
            </w:r>
          </w:p>
        </w:tc>
      </w:tr>
      <w:tr w:rsidR="00317816" w:rsidRPr="00C24D02" w14:paraId="4E0D8615" w14:textId="77777777" w:rsidTr="003D1A59">
        <w:tc>
          <w:tcPr>
            <w:tcW w:w="2405" w:type="dxa"/>
          </w:tcPr>
          <w:p w14:paraId="4E9AF74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2A0CF486"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5.</w:t>
            </w:r>
          </w:p>
        </w:tc>
      </w:tr>
    </w:tbl>
    <w:p w14:paraId="77DD9F74" w14:textId="77777777" w:rsidR="00317816" w:rsidRPr="00C24D02" w:rsidRDefault="00317816" w:rsidP="00317816">
      <w:pPr>
        <w:spacing w:after="144" w:line="360" w:lineRule="auto"/>
        <w:rPr>
          <w:rFonts w:asciiTheme="minorHAnsi" w:hAnsiTheme="minorHAnsi" w:cstheme="minorHAnsi"/>
        </w:rPr>
      </w:pPr>
    </w:p>
    <w:p w14:paraId="0C3B1E74"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Uplatněný výsledek v zahraničí</w:t>
      </w:r>
    </w:p>
    <w:p w14:paraId="530BFE9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0E33A8E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Nesouhlasíme s hodnocením výsledku stupněm 5, který neodpovídá kritériím hodnocení podle Metodiky specifikovaných v Uživatelské příručce, a žádáme o jeho přehodnocení:</w:t>
      </w:r>
    </w:p>
    <w:p w14:paraId="6EE34D8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1) Uživatelská příručka: "Stupněm 1 nebo 2 bude obdobně hodnocen rovněž výsledek aplikovaný ve výrobcích, technologiích nebo službách, které se na zahraničních trzích uplatní nepřímo. Například v součástce vyrobené českým výrobcem v ČR, ale použité jako podstatná, nezaměnitelná, část jiného výrobku, jenž je na zahraničích trzích úspěšný".</w:t>
      </w:r>
    </w:p>
    <w:p w14:paraId="21231DC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K tomu uvádíme:</w:t>
      </w:r>
    </w:p>
    <w:p w14:paraId="5B3AF373" w14:textId="77777777" w:rsidR="00317816" w:rsidRPr="00C24D02" w:rsidRDefault="00317816" w:rsidP="00317816">
      <w:pPr>
        <w:spacing w:after="144" w:line="360" w:lineRule="auto"/>
        <w:ind w:left="709" w:hanging="352"/>
        <w:jc w:val="both"/>
        <w:rPr>
          <w:rFonts w:asciiTheme="minorHAnsi" w:hAnsiTheme="minorHAnsi" w:cstheme="minorHAnsi"/>
        </w:rPr>
      </w:pPr>
      <w:r w:rsidRPr="00C24D02">
        <w:rPr>
          <w:rFonts w:asciiTheme="minorHAnsi" w:hAnsiTheme="minorHAnsi" w:cstheme="minorHAnsi"/>
        </w:rPr>
        <w:t>a) Výsledek (pneumatický výtah byl úspěšně uplatněn v zahraničí u firmy Bosch Rexroth AG v Německu jako součást výrobní linky, což bylo v podkladech k hodnocení jasně uvedeno.</w:t>
      </w:r>
    </w:p>
    <w:p w14:paraId="7F9A6288" w14:textId="77777777" w:rsidR="00317816" w:rsidRPr="00C24D02" w:rsidRDefault="00317816" w:rsidP="00317816">
      <w:pPr>
        <w:spacing w:after="144" w:line="360" w:lineRule="auto"/>
        <w:ind w:left="709" w:hanging="352"/>
        <w:jc w:val="both"/>
        <w:rPr>
          <w:rFonts w:asciiTheme="minorHAnsi" w:hAnsiTheme="minorHAnsi" w:cstheme="minorHAnsi"/>
        </w:rPr>
      </w:pPr>
      <w:r w:rsidRPr="00C24D02">
        <w:rPr>
          <w:rFonts w:asciiTheme="minorHAnsi" w:hAnsiTheme="minorHAnsi" w:cstheme="minorHAnsi"/>
        </w:rPr>
        <w:lastRenderedPageBreak/>
        <w:t>b) Doložené faktury se vztahují pouze k uplatněnému výsledku. Požadavek "v případě ekonomického přínosu by měly být doloženy i náklady na vývoj a výrobu" jde nad rámec Metodiky i Uživatelské příručky.</w:t>
      </w:r>
    </w:p>
    <w:p w14:paraId="60C300DA" w14:textId="77777777" w:rsidR="00317816" w:rsidRPr="00C24D02" w:rsidRDefault="00317816" w:rsidP="00317816">
      <w:pPr>
        <w:spacing w:after="144" w:line="360" w:lineRule="auto"/>
        <w:ind w:left="709" w:hanging="352"/>
        <w:jc w:val="both"/>
        <w:rPr>
          <w:rFonts w:asciiTheme="minorHAnsi" w:hAnsiTheme="minorHAnsi" w:cstheme="minorHAnsi"/>
        </w:rPr>
      </w:pPr>
      <w:r w:rsidRPr="00C24D02">
        <w:rPr>
          <w:rFonts w:asciiTheme="minorHAnsi" w:hAnsiTheme="minorHAnsi" w:cstheme="minorHAnsi"/>
        </w:rPr>
        <w:t>c) Odmítáme subjektivní "odborné" výhrady k nevhodnosti navrženého řešení a k tomu, že nevybočuje z běžných řešení (což si vzájemně odporuje). Bez znalosti výrobní linky fy. Bosch není možné takové nepodložené závěry činit.</w:t>
      </w:r>
    </w:p>
    <w:p w14:paraId="3404985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Společenská relevance výsledku je dána jeho příspěvkem pro konkurenceschopnost ČR – nejvýznamnějším obchodním partnerem ČR je Německo, kde mezi hlavní české exportní položky patří právě strojírenské výrobky.</w:t>
      </w:r>
    </w:p>
    <w:p w14:paraId="2F561A9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Aniž bychom chtěli zasahovat do požadovaného přehodnocení, podle našeho názoru by odpovídalo hodnocení výsledku stupněm 3. </w:t>
      </w:r>
    </w:p>
    <w:p w14:paraId="15465DB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Úroveň inovativnosti předloženého výsledku je problematická. Výsledek proto nesplňuje charakteristiku výsledku VaV ve smyslu FM. Z tohoto důvodu bylo uděleno hodnocení úrovní 5. Toto hodnocení bylo následně odsouhlaseno celým panelem OP 2. Potvrzuji proto hodnocení úrovní 5.</w:t>
      </w:r>
    </w:p>
    <w:p w14:paraId="4786B117"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15449740"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40F1FDFA" w14:textId="503CE0AD"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5F7B4B9" w14:textId="77777777" w:rsidTr="003D1A59">
        <w:tc>
          <w:tcPr>
            <w:tcW w:w="2405" w:type="dxa"/>
          </w:tcPr>
          <w:p w14:paraId="1EA9244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9E29EE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VÚTS</w:t>
            </w:r>
          </w:p>
        </w:tc>
      </w:tr>
      <w:tr w:rsidR="00317816" w:rsidRPr="00C24D02" w14:paraId="0663F648" w14:textId="77777777" w:rsidTr="003D1A59">
        <w:tc>
          <w:tcPr>
            <w:tcW w:w="2405" w:type="dxa"/>
          </w:tcPr>
          <w:p w14:paraId="6ADD1A1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3F3F9C8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192503535</w:t>
            </w:r>
          </w:p>
        </w:tc>
      </w:tr>
      <w:tr w:rsidR="00317816" w:rsidRPr="00C24D02" w14:paraId="690C6BBB" w14:textId="77777777" w:rsidTr="003D1A59">
        <w:trPr>
          <w:trHeight w:val="741"/>
        </w:trPr>
        <w:tc>
          <w:tcPr>
            <w:tcW w:w="2405" w:type="dxa"/>
          </w:tcPr>
          <w:p w14:paraId="43EBCD7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48365FF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Elektrický výtah pro manipulaci s paletami</w:t>
            </w:r>
          </w:p>
        </w:tc>
      </w:tr>
      <w:tr w:rsidR="00317816" w:rsidRPr="00C24D02" w14:paraId="6A9DDCA9" w14:textId="77777777" w:rsidTr="003D1A59">
        <w:tc>
          <w:tcPr>
            <w:tcW w:w="2405" w:type="dxa"/>
          </w:tcPr>
          <w:p w14:paraId="1C8DDF7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9C1CB3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236CED85" w14:textId="77777777" w:rsidTr="003D1A59">
        <w:tc>
          <w:tcPr>
            <w:tcW w:w="2405" w:type="dxa"/>
          </w:tcPr>
          <w:p w14:paraId="45273DE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D7D853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47342ECD" w14:textId="77777777" w:rsidTr="003D1A59">
        <w:tc>
          <w:tcPr>
            <w:tcW w:w="2405" w:type="dxa"/>
          </w:tcPr>
          <w:p w14:paraId="24E0CCE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88"/>
            </w:r>
            <w:r w:rsidRPr="00C24D02">
              <w:rPr>
                <w:rFonts w:asciiTheme="minorHAnsi" w:eastAsia="Calibri" w:hAnsiTheme="minorHAnsi" w:cstheme="minorHAnsi"/>
              </w:rPr>
              <w:t>)</w:t>
            </w:r>
          </w:p>
        </w:tc>
        <w:tc>
          <w:tcPr>
            <w:tcW w:w="6378" w:type="dxa"/>
          </w:tcPr>
          <w:p w14:paraId="5F22701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4/4/-/4</w:t>
            </w:r>
          </w:p>
        </w:tc>
      </w:tr>
      <w:tr w:rsidR="00317816" w:rsidRPr="00C24D02" w14:paraId="7C3B364B" w14:textId="77777777" w:rsidTr="003D1A59">
        <w:tc>
          <w:tcPr>
            <w:tcW w:w="2405" w:type="dxa"/>
          </w:tcPr>
          <w:p w14:paraId="37F44AA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1E012BA"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069EDB74" w14:textId="77777777" w:rsidR="00317816" w:rsidRPr="00C24D02" w:rsidRDefault="00317816" w:rsidP="00317816">
      <w:pPr>
        <w:spacing w:after="144" w:line="360" w:lineRule="auto"/>
        <w:rPr>
          <w:rFonts w:asciiTheme="minorHAnsi" w:hAnsiTheme="minorHAnsi" w:cstheme="minorHAnsi"/>
        </w:rPr>
      </w:pPr>
    </w:p>
    <w:p w14:paraId="17559C87"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Výsledek s ekonomickým přínosem</w:t>
      </w:r>
    </w:p>
    <w:p w14:paraId="4A62A10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4C8C6B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Nesouhlasíme s hodnocením výsledku stupněm 4, který neodpovídá kritériím hodnocení podle Metodiky specifikovaných v Uživatelské příručce, a </w:t>
      </w:r>
      <w:r w:rsidRPr="00C24D02">
        <w:rPr>
          <w:rFonts w:asciiTheme="minorHAnsi" w:hAnsiTheme="minorHAnsi" w:cstheme="minorHAnsi"/>
          <w:b/>
          <w:bCs/>
        </w:rPr>
        <w:t>žádáme o jeho přehodnocení</w:t>
      </w:r>
      <w:r w:rsidRPr="00C24D02">
        <w:rPr>
          <w:rFonts w:asciiTheme="minorHAnsi" w:hAnsiTheme="minorHAnsi" w:cstheme="minorHAnsi"/>
        </w:rPr>
        <w:t xml:space="preserve">: </w:t>
      </w:r>
    </w:p>
    <w:p w14:paraId="657D0CC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1) Uživatelská příručka: "Stupněm 1 nebo 2 bude obdobně hodnocen rovněž výsledek aplikovaný ve výrobcích, technologiích nebo službách, které se na zahraničních trzích uplatní nepřímo. Například v součástce vyrobené českým výrobcem v ČR, ale použité jako podstatná, nezaměnitelná, část jiného výrobku, jenž je na zahraničích trzích úspěšný". </w:t>
      </w:r>
    </w:p>
    <w:p w14:paraId="096069D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K tomu uvádíme: </w:t>
      </w:r>
    </w:p>
    <w:p w14:paraId="52C92962" w14:textId="77777777" w:rsidR="00317816" w:rsidRPr="00C24D02" w:rsidRDefault="00317816" w:rsidP="00317816">
      <w:pPr>
        <w:spacing w:after="144" w:line="360" w:lineRule="auto"/>
        <w:ind w:left="709" w:hanging="352"/>
        <w:jc w:val="both"/>
        <w:rPr>
          <w:rFonts w:asciiTheme="minorHAnsi" w:hAnsiTheme="minorHAnsi" w:cstheme="minorHAnsi"/>
        </w:rPr>
      </w:pPr>
      <w:r w:rsidRPr="00C24D02">
        <w:rPr>
          <w:rFonts w:asciiTheme="minorHAnsi" w:hAnsiTheme="minorHAnsi" w:cstheme="minorHAnsi"/>
        </w:rPr>
        <w:t xml:space="preserve">a) Ekonomický přínos výsledku byl v souladu s uživatelskou příručkou doložen fakturami a objednávkami. Metodika i Uživatelská příručka explicitně uvádí ekonomický přínos jako rovnocenný společenskému přínosu. Vyjádření hodnotitele a garanta "společenský přínos je velmi chabý" je tak zcela irelevantní. </w:t>
      </w:r>
    </w:p>
    <w:p w14:paraId="0A456AFF" w14:textId="77777777" w:rsidR="00317816" w:rsidRPr="00C24D02" w:rsidRDefault="00317816" w:rsidP="00317816">
      <w:pPr>
        <w:spacing w:after="144" w:line="360" w:lineRule="auto"/>
        <w:ind w:left="709" w:hanging="352"/>
        <w:jc w:val="both"/>
        <w:rPr>
          <w:rFonts w:asciiTheme="minorHAnsi" w:hAnsiTheme="minorHAnsi" w:cstheme="minorHAnsi"/>
        </w:rPr>
      </w:pPr>
      <w:r w:rsidRPr="00C24D02">
        <w:rPr>
          <w:rFonts w:asciiTheme="minorHAnsi" w:hAnsiTheme="minorHAnsi" w:cstheme="minorHAnsi"/>
        </w:rPr>
        <w:t xml:space="preserve">b) Odmítáme subjektivní "odborné" výhrady o "běžném konstrukčním procesu a zcela standardních výrobních a analytických aktivitách", které nelze bez znalosti výrobní linky fy. Bosch objektivně posoudit. </w:t>
      </w:r>
    </w:p>
    <w:p w14:paraId="24267CA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Společenská relevance výsledku je dána jeho příspěvkem pro konkurenceschopnost ČR – nejvýznamnějším obchodním partnerem ČR je Německo, kde mezi hlavní české exportní položky patří právě strojírenské výrobky. </w:t>
      </w:r>
    </w:p>
    <w:p w14:paraId="7389A9A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Aniž bychom chtěli zasahovat do požadovaného přehodnocení, podle našeho názoru by odpovídalo hodnocení výsledku stupněm 3.</w:t>
      </w:r>
    </w:p>
    <w:p w14:paraId="033D427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lastRenderedPageBreak/>
        <w:t>Stanovisko garanta</w:t>
      </w:r>
      <w:r w:rsidRPr="00C24D02">
        <w:rPr>
          <w:rFonts w:asciiTheme="minorHAnsi" w:hAnsiTheme="minorHAnsi" w:cstheme="minorHAnsi"/>
        </w:rPr>
        <w:t>: Úroveň inovativnosti předloženého výsledku byla shledána oběma hodnotiteli jako nízká. Určitý aplikační potenciál lze shledávat v souvislosti s využitím u firmy Bosch. Vzhledem k nízké úrovni inovativnosti však nelze usuzovat na vysoký aplikační potenciál v širším slova smyslu. Hodnocení úrovní 4 považuji za adekvátní.</w:t>
      </w:r>
    </w:p>
    <w:p w14:paraId="602C3D20"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1C31E9AB"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7D7121E9" w14:textId="4A843DEA"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pravidel Metodiky 2017+.</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32E2624F" w14:textId="77777777" w:rsidTr="003D1A59">
        <w:tc>
          <w:tcPr>
            <w:tcW w:w="2405" w:type="dxa"/>
          </w:tcPr>
          <w:p w14:paraId="782EF1F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3C05503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VÚTS</w:t>
            </w:r>
          </w:p>
        </w:tc>
      </w:tr>
      <w:tr w:rsidR="00317816" w:rsidRPr="00C24D02" w14:paraId="00053C37" w14:textId="77777777" w:rsidTr="003D1A59">
        <w:tc>
          <w:tcPr>
            <w:tcW w:w="2405" w:type="dxa"/>
          </w:tcPr>
          <w:p w14:paraId="31E249D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13882F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192503536</w:t>
            </w:r>
          </w:p>
        </w:tc>
      </w:tr>
      <w:tr w:rsidR="00317816" w:rsidRPr="00C24D02" w14:paraId="62CC0277" w14:textId="77777777" w:rsidTr="003D1A59">
        <w:trPr>
          <w:trHeight w:val="741"/>
        </w:trPr>
        <w:tc>
          <w:tcPr>
            <w:tcW w:w="2405" w:type="dxa"/>
          </w:tcPr>
          <w:p w14:paraId="63E3AE7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30A91D0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Laserové svařování filtrů</w:t>
            </w:r>
          </w:p>
        </w:tc>
      </w:tr>
      <w:tr w:rsidR="00317816" w:rsidRPr="00C24D02" w14:paraId="631BF68B" w14:textId="77777777" w:rsidTr="003D1A59">
        <w:tc>
          <w:tcPr>
            <w:tcW w:w="2405" w:type="dxa"/>
          </w:tcPr>
          <w:p w14:paraId="4787766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2D6523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5A37F804" w14:textId="77777777" w:rsidTr="003D1A59">
        <w:tc>
          <w:tcPr>
            <w:tcW w:w="2405" w:type="dxa"/>
          </w:tcPr>
          <w:p w14:paraId="42CE1D0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83D141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50B4D0C2" w14:textId="77777777" w:rsidTr="003D1A59">
        <w:tc>
          <w:tcPr>
            <w:tcW w:w="2405" w:type="dxa"/>
          </w:tcPr>
          <w:p w14:paraId="3032867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89"/>
            </w:r>
            <w:r w:rsidRPr="00C24D02">
              <w:rPr>
                <w:rFonts w:asciiTheme="minorHAnsi" w:eastAsia="Calibri" w:hAnsiTheme="minorHAnsi" w:cstheme="minorHAnsi"/>
              </w:rPr>
              <w:t>)</w:t>
            </w:r>
          </w:p>
        </w:tc>
        <w:tc>
          <w:tcPr>
            <w:tcW w:w="6378" w:type="dxa"/>
          </w:tcPr>
          <w:p w14:paraId="1D5E963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3/4/-/4</w:t>
            </w:r>
          </w:p>
        </w:tc>
      </w:tr>
      <w:tr w:rsidR="00317816" w:rsidRPr="00C24D02" w14:paraId="38DB436D" w14:textId="77777777" w:rsidTr="003D1A59">
        <w:tc>
          <w:tcPr>
            <w:tcW w:w="2405" w:type="dxa"/>
          </w:tcPr>
          <w:p w14:paraId="43B97F1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E4D5C50"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4EB688AF" w14:textId="77777777" w:rsidR="00317816" w:rsidRPr="00C24D02" w:rsidRDefault="00317816" w:rsidP="00317816">
      <w:pPr>
        <w:spacing w:after="144" w:line="360" w:lineRule="auto"/>
        <w:rPr>
          <w:rFonts w:asciiTheme="minorHAnsi" w:hAnsiTheme="minorHAnsi" w:cstheme="minorHAnsi"/>
        </w:rPr>
      </w:pPr>
    </w:p>
    <w:p w14:paraId="4BA6847B"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Doložení výsledku</w:t>
      </w:r>
    </w:p>
    <w:p w14:paraId="4E35338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6A06C1D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Nesouhlasíme s hodnocením výsledku stupněm, který neodpovídá kritériím hodnocení podle Metodiky specifikovaných v Uživatelské příručce, a žádáme o jeho přehodnocení: </w:t>
      </w:r>
    </w:p>
    <w:p w14:paraId="20485D3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 xml:space="preserve">Hodnotitel č. 1 v souladu s Metodikou a Uživatelskou příručkou hodnotil výsledek stupněm 3. Hodnotitel č. 2 hodnotil rovněž stupněm 3, ale hodnocení snížil o 1 stupeň: "Vzhledem k tomu, že chybí některé dokumenty k výsledku, snižuji hodnocení o jeden stupeň", garant se přiklonil k hodnocení panelisty 2. </w:t>
      </w:r>
    </w:p>
    <w:p w14:paraId="132C81E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K tomu uvádíme: </w:t>
      </w:r>
    </w:p>
    <w:p w14:paraId="2D7FADD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Podle Metodiky a Uživatelské příručky mají výzkumné organizace předložit podklady k hodnocení vybraných výsledků podle kritéria společenská relevance, což jsme učinili. </w:t>
      </w:r>
    </w:p>
    <w:p w14:paraId="163C084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Podklady pro schválení daného druhu výsledku, v tomto případě technická dokumentace se nepřekládají RVVI, ale poskytovateli, který výsledek v rámci daného projektu schvaluje. Požadavek na předložení kompletní technické dokumentace ani Metodika, ani Uživatelská příručka neuvádí. </w:t>
      </w:r>
    </w:p>
    <w:p w14:paraId="1816BECD" w14:textId="77777777" w:rsidR="00317816" w:rsidRPr="00C24D02" w:rsidRDefault="00317816" w:rsidP="00317816">
      <w:pPr>
        <w:spacing w:after="144" w:line="360" w:lineRule="auto"/>
        <w:jc w:val="both"/>
        <w:rPr>
          <w:rFonts w:asciiTheme="minorHAnsi" w:hAnsiTheme="minorHAnsi" w:cstheme="minorHAnsi"/>
          <w:b/>
          <w:bCs/>
        </w:rPr>
      </w:pPr>
      <w:r w:rsidRPr="00C24D02">
        <w:rPr>
          <w:rFonts w:asciiTheme="minorHAnsi" w:hAnsiTheme="minorHAnsi" w:cstheme="minorHAnsi"/>
          <w:b/>
          <w:bCs/>
        </w:rPr>
        <w:t xml:space="preserve">Vzhledem k metodické chybě proto žádáme o anulování snížení hodnocení výsledku o jeden stupeň a jeho hodnocení stupněm 3. </w:t>
      </w:r>
    </w:p>
    <w:p w14:paraId="3BA26FA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Aplikační potenciál byl doložen prostřednictvím jedné zakázky, realizované v rámci ČR. Další uplatnění výsledku dokladováno není. Doložený aplikační potenciál odpovídá hodnocení úrovní 4. </w:t>
      </w:r>
    </w:p>
    <w:p w14:paraId="61A12CF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7F46990D" w14:textId="77777777" w:rsidR="00317816" w:rsidRPr="00C24D02" w:rsidRDefault="00317816" w:rsidP="00317816">
      <w:pPr>
        <w:spacing w:before="240" w:after="144" w:line="360" w:lineRule="auto"/>
        <w:jc w:val="both"/>
        <w:rPr>
          <w:rFonts w:asciiTheme="minorHAnsi" w:hAnsiTheme="minorHAnsi" w:cstheme="minorHAnsi"/>
          <w:i/>
          <w:i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 xml:space="preserve">Při hodnocení je nutno postupovat dle oddílu 4.2.5 </w:t>
      </w:r>
      <w:r w:rsidRPr="00C24D02">
        <w:rPr>
          <w:rFonts w:asciiTheme="minorHAnsi" w:hAnsiTheme="minorHAnsi" w:cstheme="minorHAnsi"/>
          <w:b/>
          <w:bCs/>
        </w:rPr>
        <w:t>Vložení podpůrných informací</w:t>
      </w:r>
      <w:r w:rsidRPr="00C24D02">
        <w:rPr>
          <w:rFonts w:asciiTheme="minorHAnsi" w:hAnsiTheme="minorHAnsi" w:cstheme="minorHAnsi"/>
        </w:rPr>
        <w:t>, písmene a) Postupu</w:t>
      </w:r>
      <w:r w:rsidRPr="00C24D02">
        <w:rPr>
          <w:rStyle w:val="Znakapoznpodarou"/>
          <w:rFonts w:asciiTheme="minorHAnsi" w:eastAsiaTheme="majorEastAsia" w:hAnsiTheme="minorHAnsi" w:cstheme="minorHAnsi"/>
        </w:rPr>
        <w:footnoteReference w:id="90"/>
      </w:r>
      <w:r w:rsidRPr="00C24D02">
        <w:rPr>
          <w:rFonts w:asciiTheme="minorHAnsi" w:hAnsiTheme="minorHAnsi" w:cstheme="minorHAnsi"/>
        </w:rPr>
        <w:t>, ve kterém je uvedeno: „</w:t>
      </w:r>
      <w:r w:rsidRPr="00C24D02">
        <w:rPr>
          <w:rFonts w:asciiTheme="minorHAnsi" w:hAnsiTheme="minorHAnsi" w:cstheme="minorHAnsi"/>
          <w:i/>
          <w:iCs/>
        </w:rPr>
        <w:t>Úkolem recenzentů není opětovné a detailní oponování výsledku ve smyslu oponentního posudku pro odborný časopis, nýbrž kvalifikované a odůvodněné vyjádření k jedinečnosti, originalitě a významu pro danou oblast výzkumu a vývoje nebo pro praxi. Výzkumná organizace spolu s výsledkem dodává pomocí aplikace pro sběr výsledků následující podpůrné informace:19</w:t>
      </w:r>
    </w:p>
    <w:p w14:paraId="526A970F" w14:textId="77777777" w:rsidR="00317816" w:rsidRPr="00C24D02" w:rsidRDefault="00317816" w:rsidP="00317816">
      <w:pPr>
        <w:pStyle w:val="Odstavecseseznamem"/>
        <w:numPr>
          <w:ilvl w:val="0"/>
          <w:numId w:val="23"/>
        </w:numPr>
        <w:spacing w:before="240" w:after="144" w:line="360" w:lineRule="auto"/>
        <w:jc w:val="both"/>
        <w:rPr>
          <w:rFonts w:asciiTheme="minorHAnsi" w:hAnsiTheme="minorHAnsi" w:cstheme="minorHAnsi"/>
          <w:i/>
          <w:iCs/>
        </w:rPr>
      </w:pPr>
      <w:r w:rsidRPr="00C24D02">
        <w:rPr>
          <w:rFonts w:asciiTheme="minorHAnsi" w:hAnsiTheme="minorHAnsi" w:cstheme="minorHAnsi"/>
          <w:i/>
          <w:iCs/>
        </w:rPr>
        <w:t>u výsledků, na jejichž vzniku se podílelo více subjektů, popis přínosu hodnocené výzkumné organizace k řešení;</w:t>
      </w:r>
    </w:p>
    <w:p w14:paraId="5E3206B8" w14:textId="77777777" w:rsidR="00317816" w:rsidRPr="00C24D02" w:rsidRDefault="00317816" w:rsidP="00317816">
      <w:pPr>
        <w:pStyle w:val="Odstavecseseznamem"/>
        <w:numPr>
          <w:ilvl w:val="0"/>
          <w:numId w:val="23"/>
        </w:numPr>
        <w:spacing w:before="240" w:after="144" w:line="360" w:lineRule="auto"/>
        <w:jc w:val="both"/>
        <w:rPr>
          <w:rFonts w:asciiTheme="minorHAnsi" w:hAnsiTheme="minorHAnsi" w:cstheme="minorHAnsi"/>
          <w:i/>
          <w:iCs/>
        </w:rPr>
      </w:pPr>
      <w:r w:rsidRPr="00C24D02">
        <w:rPr>
          <w:rFonts w:asciiTheme="minorHAnsi" w:hAnsiTheme="minorHAnsi" w:cstheme="minorHAnsi"/>
          <w:i/>
          <w:iCs/>
        </w:rPr>
        <w:lastRenderedPageBreak/>
        <w:t>vybrané recenze, expertní stanoviska k výsledku, reference apod.;</w:t>
      </w:r>
    </w:p>
    <w:p w14:paraId="4038ACBE" w14:textId="77777777" w:rsidR="00317816" w:rsidRPr="00C24D02" w:rsidRDefault="00317816" w:rsidP="00317816">
      <w:pPr>
        <w:pStyle w:val="Odstavecseseznamem"/>
        <w:numPr>
          <w:ilvl w:val="0"/>
          <w:numId w:val="23"/>
        </w:numPr>
        <w:spacing w:before="240" w:after="144" w:line="360" w:lineRule="auto"/>
        <w:jc w:val="both"/>
        <w:rPr>
          <w:rFonts w:asciiTheme="minorHAnsi" w:hAnsiTheme="minorHAnsi" w:cstheme="minorHAnsi"/>
          <w:i/>
          <w:iCs/>
        </w:rPr>
      </w:pPr>
      <w:r w:rsidRPr="00C24D02">
        <w:rPr>
          <w:rFonts w:asciiTheme="minorHAnsi" w:hAnsiTheme="minorHAnsi" w:cstheme="minorHAnsi"/>
          <w:i/>
          <w:iCs/>
        </w:rPr>
        <w:t>podpůrné materiály prokazující významnost výsledku v dané oblasti výzkumu a vývoje (například ekonomické nebo sociální a další parametry, ocenění, zmapované dopady, zápis závěrečného zhodnocení řešení projektu v případě, že výsledek vznikl za podpory nějakého poskytovatele výzkumných projektů (např. TAČR, MPO, MZ, atd.));</w:t>
      </w:r>
    </w:p>
    <w:p w14:paraId="5947BE14" w14:textId="77777777" w:rsidR="00317816" w:rsidRPr="00C24D02" w:rsidRDefault="00317816" w:rsidP="00317816">
      <w:pPr>
        <w:pStyle w:val="Odstavecseseznamem"/>
        <w:numPr>
          <w:ilvl w:val="0"/>
          <w:numId w:val="23"/>
        </w:numPr>
        <w:spacing w:before="240" w:after="144" w:line="360" w:lineRule="auto"/>
        <w:jc w:val="both"/>
        <w:rPr>
          <w:rFonts w:asciiTheme="minorHAnsi" w:hAnsiTheme="minorHAnsi" w:cstheme="minorHAnsi"/>
          <w:i/>
          <w:iCs/>
        </w:rPr>
      </w:pPr>
      <w:r w:rsidRPr="00C24D02">
        <w:rPr>
          <w:rFonts w:asciiTheme="minorHAnsi" w:hAnsiTheme="minorHAnsi" w:cstheme="minorHAnsi"/>
          <w:i/>
          <w:iCs/>
        </w:rPr>
        <w:t>odůvodnění výběru ve vztahu ke kritériu hodnocení (včetně například zdůraznění jedinečnosti výsledku, srovnání s obdobnými výsledky).“</w:t>
      </w:r>
    </w:p>
    <w:p w14:paraId="3053E2ED"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pravidel Metodiky 2017+.</w:t>
      </w:r>
    </w:p>
    <w:p w14:paraId="1D3579E3" w14:textId="77777777" w:rsidR="00317816" w:rsidRPr="00C24D02" w:rsidRDefault="00317816" w:rsidP="00317816">
      <w:pPr>
        <w:spacing w:before="240" w:after="144" w:line="360" w:lineRule="auto"/>
        <w:jc w:val="both"/>
        <w:rPr>
          <w:rFonts w:asciiTheme="minorHAnsi" w:hAnsiTheme="minorHAnsi" w:cstheme="minorHAnsi"/>
        </w:rPr>
      </w:pP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E7C3890" w14:textId="77777777" w:rsidTr="003D1A59">
        <w:tc>
          <w:tcPr>
            <w:tcW w:w="2405" w:type="dxa"/>
          </w:tcPr>
          <w:p w14:paraId="2791C08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D92A97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VÚTS</w:t>
            </w:r>
          </w:p>
        </w:tc>
      </w:tr>
      <w:tr w:rsidR="00317816" w:rsidRPr="00C24D02" w14:paraId="074A42B4" w14:textId="77777777" w:rsidTr="003D1A59">
        <w:tc>
          <w:tcPr>
            <w:tcW w:w="2405" w:type="dxa"/>
          </w:tcPr>
          <w:p w14:paraId="1E92A93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B7309C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192504752</w:t>
            </w:r>
          </w:p>
        </w:tc>
      </w:tr>
      <w:tr w:rsidR="00317816" w:rsidRPr="00C24D02" w14:paraId="4E59931D" w14:textId="77777777" w:rsidTr="003D1A59">
        <w:trPr>
          <w:trHeight w:val="741"/>
        </w:trPr>
        <w:tc>
          <w:tcPr>
            <w:tcW w:w="2405" w:type="dxa"/>
          </w:tcPr>
          <w:p w14:paraId="46EDA42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5BFE8F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Automatizované zařízení pro diagnostiku viskózových vláken Diagnostika GLA1</w:t>
            </w:r>
          </w:p>
        </w:tc>
      </w:tr>
      <w:tr w:rsidR="00317816" w:rsidRPr="00C24D02" w14:paraId="286D0FE6" w14:textId="77777777" w:rsidTr="003D1A59">
        <w:tc>
          <w:tcPr>
            <w:tcW w:w="2405" w:type="dxa"/>
          </w:tcPr>
          <w:p w14:paraId="5D6DA6A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29E92A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0669B553" w14:textId="77777777" w:rsidTr="003D1A59">
        <w:tc>
          <w:tcPr>
            <w:tcW w:w="2405" w:type="dxa"/>
          </w:tcPr>
          <w:p w14:paraId="7B07AE5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0B90E6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624285E7" w14:textId="77777777" w:rsidTr="003D1A59">
        <w:tc>
          <w:tcPr>
            <w:tcW w:w="2405" w:type="dxa"/>
          </w:tcPr>
          <w:p w14:paraId="205DDE0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91"/>
            </w:r>
            <w:r w:rsidRPr="00C24D02">
              <w:rPr>
                <w:rFonts w:asciiTheme="minorHAnsi" w:eastAsia="Calibri" w:hAnsiTheme="minorHAnsi" w:cstheme="minorHAnsi"/>
              </w:rPr>
              <w:t>)</w:t>
            </w:r>
          </w:p>
        </w:tc>
        <w:tc>
          <w:tcPr>
            <w:tcW w:w="6378" w:type="dxa"/>
          </w:tcPr>
          <w:p w14:paraId="4C1BD18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5/2/4/4</w:t>
            </w:r>
          </w:p>
        </w:tc>
      </w:tr>
      <w:tr w:rsidR="00317816" w:rsidRPr="00C24D02" w14:paraId="2B75DA4A" w14:textId="77777777" w:rsidTr="003D1A59">
        <w:tc>
          <w:tcPr>
            <w:tcW w:w="2405" w:type="dxa"/>
          </w:tcPr>
          <w:p w14:paraId="2D17E8E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94EB4AC"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63441E60" w14:textId="77777777" w:rsidR="00317816" w:rsidRPr="00C24D02" w:rsidRDefault="00317816" w:rsidP="00317816">
      <w:pPr>
        <w:spacing w:after="144" w:line="360" w:lineRule="auto"/>
        <w:rPr>
          <w:rFonts w:asciiTheme="minorHAnsi" w:hAnsiTheme="minorHAnsi" w:cstheme="minorHAnsi"/>
        </w:rPr>
      </w:pPr>
    </w:p>
    <w:p w14:paraId="474E2C6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Uplatněný výsledek v zahraničí</w:t>
      </w:r>
    </w:p>
    <w:p w14:paraId="1D09677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0CD3457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Nesouhlasíme s hodnocením výsledku stupněm 4, který neodpovídá kritériím hodnocení podle Metodiky specifikovaných v Uživatelské příručce, a </w:t>
      </w:r>
      <w:r w:rsidRPr="00C24D02">
        <w:rPr>
          <w:rFonts w:asciiTheme="minorHAnsi" w:hAnsiTheme="minorHAnsi" w:cstheme="minorHAnsi"/>
          <w:b/>
          <w:bCs/>
        </w:rPr>
        <w:t>žádáme o jeho přehodnocení</w:t>
      </w:r>
      <w:r w:rsidRPr="00C24D02">
        <w:rPr>
          <w:rFonts w:asciiTheme="minorHAnsi" w:hAnsiTheme="minorHAnsi" w:cstheme="minorHAnsi"/>
        </w:rPr>
        <w:t xml:space="preserve">: </w:t>
      </w:r>
    </w:p>
    <w:p w14:paraId="201C4B5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 xml:space="preserve">1) Uživatelská příručka: "Stupněm 1 nebo 2 bude obdobně hodnocen rovněž výsledek aplikovaný ve výrobcích, technologiích nebo službách, které se na zahraničních trzích uplatní nepřímo. Například v součástce vyrobené českým výrobcem v ČR, ale použité jako podstatná, nezaměnitelná, část jiného výrobku, jenž je na zahraničích trzích úspěšný. ". </w:t>
      </w:r>
    </w:p>
    <w:p w14:paraId="7882CDB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K tomu uvádíme: </w:t>
      </w:r>
    </w:p>
    <w:p w14:paraId="4D1A335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a) Výsledek Automatizované zařízení pro diagnostiku viskózových vláken Diagnostika GLA1 se uplatňuje u firmy Indorama Ventures Mobility Bohemia v Lovosicích, je v rámci testovacího provozu je zařazen do komplexního výrobního procesu výroby viskózových vláken, což bylo v podkladech k hodnocení uvedeno včetně fotodokumentace nainstalovaného zařízení v prostorech firmy Indorama. </w:t>
      </w:r>
    </w:p>
    <w:p w14:paraId="0130F01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b) Výsledek vznikl v rámci projektu programu TAČR TREND, který podporuje aplikačně orientovaný výzkum s přímým dopadem na praxi. Nasazení a využití výsledku v praxi je proto základní podmínkou programu, kterou tento výsledek naplňuje. </w:t>
      </w:r>
    </w:p>
    <w:p w14:paraId="4D78825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c) Odmítáme subjektivní "odborné" výhrady k tomu, že prototyp je výsledkem běžného konstrukčního procesu a nelze usoudit na významnější VaV přínos. Realizovaný výsledek je zcela unikátní a nemá konkurenční srovnání. Dostupná řešení zaostávají v možnostech hodnocení a rozsahu automatizace. Automatizované hodnocení deseti kvalitativních parametrů v jednom kroku a při dané rychlosti hodnocení je zcela unikátní. </w:t>
      </w:r>
    </w:p>
    <w:p w14:paraId="232E375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Společenská relevance výsledku je dána jeho příspěvkem pro konkurenceschopnost ČR – firma Indorama Lovosice exportuje svou produkci viskózových vláken (kordů) na výrobu pneumatik celosvětově. </w:t>
      </w:r>
    </w:p>
    <w:p w14:paraId="3F0D550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Aniž bychom chtěli zasahovat do požadovaného přehodnocení, podle našeho názoru by odpovídalo hodnocení výsledku stupněm 3. </w:t>
      </w:r>
    </w:p>
    <w:p w14:paraId="7D83BA4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Aplikační potenciál výsledku není v dokumentaci řádně doložen. Předložená dokumentace zahrnuje pouze technické popisy a spis souvisejícího UV. Podle předložené dokumentace je předmětné zařízení ve zkušebním provozu a lze očekávat budoucí uplatnění v průmyslové praxi. Vzhledem k tomuto důvodnému předpokladu bylo uděleno hodnocení na úrovni 4, což považuji za adekvátní. Patrně by bylo vhodnější výsledek předložit k hodnocení později, kdy bude aplikační potenciál prokazatelný a zřejmý.</w:t>
      </w:r>
    </w:p>
    <w:p w14:paraId="418DC2E8"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lastRenderedPageBreak/>
        <w:t xml:space="preserve">Vyjádření Odborného panelu: </w:t>
      </w:r>
      <w:r w:rsidRPr="00C24D02">
        <w:rPr>
          <w:rFonts w:asciiTheme="minorHAnsi" w:hAnsiTheme="minorHAnsi" w:cstheme="minorHAnsi"/>
        </w:rPr>
        <w:t>Panel navrhuje námitce nevyhovět a ponechat původní hodnocení stupněm 4.</w:t>
      </w:r>
    </w:p>
    <w:p w14:paraId="767B1006"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51B5B42C" w14:textId="4E481785"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ponecháním původního hodnocení, které bylo uděleno podle platných pravidel.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328E7437" w14:textId="77777777" w:rsidTr="003D1A59">
        <w:tc>
          <w:tcPr>
            <w:tcW w:w="2405" w:type="dxa"/>
          </w:tcPr>
          <w:p w14:paraId="42CDD60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D9970E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Vysoká škola finanční a správní</w:t>
            </w:r>
          </w:p>
        </w:tc>
      </w:tr>
      <w:tr w:rsidR="00317816" w:rsidRPr="00C24D02" w14:paraId="208EA611" w14:textId="77777777" w:rsidTr="003D1A59">
        <w:tc>
          <w:tcPr>
            <w:tcW w:w="2405" w:type="dxa"/>
          </w:tcPr>
          <w:p w14:paraId="1E0D315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B2A4B1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192453111</w:t>
            </w:r>
          </w:p>
        </w:tc>
      </w:tr>
      <w:tr w:rsidR="00317816" w:rsidRPr="00C24D02" w14:paraId="38A06169" w14:textId="77777777" w:rsidTr="003D1A59">
        <w:trPr>
          <w:trHeight w:val="741"/>
        </w:trPr>
        <w:tc>
          <w:tcPr>
            <w:tcW w:w="2405" w:type="dxa"/>
          </w:tcPr>
          <w:p w14:paraId="1B859A6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F80BB5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Forensics and Physics</w:t>
            </w:r>
          </w:p>
        </w:tc>
      </w:tr>
      <w:tr w:rsidR="00317816" w:rsidRPr="00C24D02" w14:paraId="1CB794BF" w14:textId="77777777" w:rsidTr="003D1A59">
        <w:tc>
          <w:tcPr>
            <w:tcW w:w="2405" w:type="dxa"/>
          </w:tcPr>
          <w:p w14:paraId="7BC5BA6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B8D09A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5.5</w:t>
            </w:r>
          </w:p>
        </w:tc>
      </w:tr>
      <w:tr w:rsidR="00317816" w:rsidRPr="00C24D02" w14:paraId="4F92A949" w14:textId="77777777" w:rsidTr="003D1A59">
        <w:tc>
          <w:tcPr>
            <w:tcW w:w="2405" w:type="dxa"/>
          </w:tcPr>
          <w:p w14:paraId="49D237D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0B4B50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149E6A70" w14:textId="77777777" w:rsidTr="003D1A59">
        <w:tc>
          <w:tcPr>
            <w:tcW w:w="2405" w:type="dxa"/>
          </w:tcPr>
          <w:p w14:paraId="48752F2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92"/>
            </w:r>
            <w:r w:rsidRPr="00C24D02">
              <w:rPr>
                <w:rFonts w:asciiTheme="minorHAnsi" w:eastAsia="Calibri" w:hAnsiTheme="minorHAnsi" w:cstheme="minorHAnsi"/>
              </w:rPr>
              <w:t>)</w:t>
            </w:r>
          </w:p>
        </w:tc>
        <w:tc>
          <w:tcPr>
            <w:tcW w:w="6378" w:type="dxa"/>
          </w:tcPr>
          <w:p w14:paraId="529E0E7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-/-/3/1 (výsledná známka 3)</w:t>
            </w:r>
          </w:p>
        </w:tc>
      </w:tr>
      <w:tr w:rsidR="00317816" w:rsidRPr="00C24D02" w14:paraId="33F59475" w14:textId="77777777" w:rsidTr="003D1A59">
        <w:tc>
          <w:tcPr>
            <w:tcW w:w="2405" w:type="dxa"/>
          </w:tcPr>
          <w:p w14:paraId="1C6617C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3AB76B4"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6F4D27C4" w14:textId="77777777" w:rsidR="00317816" w:rsidRPr="00C24D02" w:rsidRDefault="00317816" w:rsidP="00317816">
      <w:pPr>
        <w:spacing w:after="144" w:line="360" w:lineRule="auto"/>
        <w:rPr>
          <w:rFonts w:asciiTheme="minorHAnsi" w:hAnsiTheme="minorHAnsi" w:cstheme="minorHAnsi"/>
        </w:rPr>
      </w:pPr>
    </w:p>
    <w:p w14:paraId="7DFB6D2E"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Proces přidělování výsledné známky</w:t>
      </w:r>
    </w:p>
    <w:p w14:paraId="31987BF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1D88F1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Prosíme o vysvětlení, jakým procesem byla přidělena výsledná známka, případně o přidělení lepšího výsledného stupně.</w:t>
      </w:r>
    </w:p>
    <w:p w14:paraId="2BF74A5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 xml:space="preserve">Odůvodnění námitky: </w:t>
      </w:r>
    </w:p>
    <w:p w14:paraId="48EAC5C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K výsledku byl zpracován jeden posudek hodnotitele se známkou 3, panelista garant hodnotil známkou 1. Výsledný stupeň je 3. Způsob přidělení výsledného stupně nám přijde procesně v rozporu s Metodikou 2017+, částí 2.7 - Hodnoticí proces a jeho náležitosti, kde se </w:t>
      </w:r>
      <w:r w:rsidRPr="00C24D02">
        <w:rPr>
          <w:rFonts w:asciiTheme="minorHAnsi" w:hAnsiTheme="minorHAnsi" w:cstheme="minorHAnsi"/>
        </w:rPr>
        <w:lastRenderedPageBreak/>
        <w:t>v modelové situaci uvádí: „… o výsledném zařazení výstupu na hodnoticí škále rozhodne oborově příslušný člen panelu“.</w:t>
      </w:r>
    </w:p>
    <w:p w14:paraId="71B2B15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Výsledek byl hodnocen v souladu s Metodikou 2017+ standardním způsobem, tj. jedním hodnotitelem a garantem panelu, přičemž oba posudky byly následně projednány na řádném zasedání panelu. Výsledné hodnocení představuje konsensus panelu, nikoliv průměr nebo automatické převzetí návrhu jednotlivých posuzovatelů.</w:t>
      </w:r>
    </w:p>
    <w:p w14:paraId="6F4A6A7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Oba posudky identifikovaly řadu pozitivních aspektů výsledku. Hodnotitelé ocenili zejména to, že publikace propojuje forenzní vědu a fyziku způsobem, který je v českém prostředí dosud málo obvyklý, a že se autorskému týmu podařilo publikovat u zahraničního nakladatele a získat za knihu ocenění rektora UPOL. Bylo také konstatováno, že jde o skutečnou kolektivní monografii s interdisciplinárním přesahem a potenciálem přispět k lepší odborné orientaci orgánů činných v trestním řízení.</w:t>
      </w:r>
    </w:p>
    <w:p w14:paraId="14E2331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Současně však posudky upozorňují na omezení, která mají vliv na míru prokázání kritérií pro vyšší stupeň hodnocení. Publikace místy působí spíše jako učebnice, což je dáno zejména absencí poznámkového aparátu a velmi omezeným využitím citací, kdy se drtivá většina položek uvedených v seznamu literatury v textu neodráží. Hodnotitelé dále upozorňují, že není dostatečně zřejmé, v jakém rozsahu publikace přináší nové teoretické nebo praktické poznatky, a že nejnovější uvedený zdroj pochází z roku 2013.</w:t>
      </w:r>
    </w:p>
    <w:p w14:paraId="44CDC7B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Výsledek byl předložen v kategorii „přínos pro společnost“, kterou předkladatel odůvodnil očekávaným dopadem knihy na postupy orgánů činných v trestním řízení a na soudní rozhodování v trestních věcech. Oba posudky připouštějí, že kniha může zlepšit porozumění některým aspektům forenzního zkoumání ze strany policie, znalců i soudů, a tuto možnost nelze vyloučit. Zároveň však nebyly doloženy žádné konkrétní příklady skutečného uplatnění v praxi, což je s ohledem na požadavky Metodiky 2017+ relevantní limit.</w:t>
      </w:r>
    </w:p>
    <w:p w14:paraId="2573048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Po panelové diskusi, v níž byla tato zjištění zohledněna, bylo jako výsledné hodnocení potvrzeno zařazení do stupně 3. Panel se přiklonil k náhledu hodnotitele, neboť považoval splnění kritérií pro vyšší stupeň za nedostatečně podložené.</w:t>
      </w:r>
    </w:p>
    <w:p w14:paraId="48819B7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Tento postup je plně v souladu s Metodikou 2017+, zejména s částí 2.7, podle níž má konečné rozhodnutí vznikat kolektivním odborným posouzením panelu. Panel je oprávněn upravit </w:t>
      </w:r>
      <w:r w:rsidRPr="00C24D02">
        <w:rPr>
          <w:rFonts w:asciiTheme="minorHAnsi" w:hAnsiTheme="minorHAnsi" w:cstheme="minorHAnsi"/>
        </w:rPr>
        <w:lastRenderedPageBreak/>
        <w:t>návrhy hodnotitelů či garanta tak, aby výsledné hodnocení odpovídalo společnému závěru všech přítomných členů.</w:t>
      </w:r>
    </w:p>
    <w:p w14:paraId="2F35F7B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Výsledná známka tedy vznikla po řádném, metodikou stanoveném procesu a reflektuje jak identifikované kvality výsledku, tak i omezení, která bránila jeho zařazení do vyššího stupně.</w:t>
      </w:r>
    </w:p>
    <w:p w14:paraId="446C753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3.</w:t>
      </w:r>
    </w:p>
    <w:p w14:paraId="0FD92A4E"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2C7A7708" w14:textId="3EBB172B"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Vzhledem k neúspěšnému hledání vhodných hodnotitelů (po opakovaných výzvách byl získán jen jeden posudek) panelista podle pravidel M17+ sám provedl hodnocení, které jasně zdůvodnil a udělil finální známku. Tu posléze potvrdil i Odborný panel. Jelikož bylo postupováno podle pravidel Metodiky, KHV souhlasí s vyjádřením Odborného panelu námitce nevyhovět a ponecháním původního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191286B" w14:textId="77777777" w:rsidTr="003D1A59">
        <w:tc>
          <w:tcPr>
            <w:tcW w:w="2405" w:type="dxa"/>
          </w:tcPr>
          <w:p w14:paraId="71352C9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FFDAAE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Vysoká škola chemicko-technologická v Praze</w:t>
            </w:r>
          </w:p>
        </w:tc>
      </w:tr>
      <w:tr w:rsidR="00317816" w:rsidRPr="00C24D02" w14:paraId="2E9708B3" w14:textId="77777777" w:rsidTr="003D1A59">
        <w:tc>
          <w:tcPr>
            <w:tcW w:w="2405" w:type="dxa"/>
          </w:tcPr>
          <w:p w14:paraId="18C870E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CA12F0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192247140</w:t>
            </w:r>
          </w:p>
        </w:tc>
      </w:tr>
      <w:tr w:rsidR="00317816" w:rsidRPr="00C24D02" w14:paraId="342018E2" w14:textId="77777777" w:rsidTr="003D1A59">
        <w:trPr>
          <w:trHeight w:val="741"/>
        </w:trPr>
        <w:tc>
          <w:tcPr>
            <w:tcW w:w="2405" w:type="dxa"/>
          </w:tcPr>
          <w:p w14:paraId="733581F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6C87AE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Development of a new LC-MS method for accurate and sensitive determination of 33 pyrrolizidine and 21 tropane alkaloids in plant-based food matrices</w:t>
            </w:r>
          </w:p>
        </w:tc>
      </w:tr>
      <w:tr w:rsidR="00317816" w:rsidRPr="00C24D02" w14:paraId="2E1C9283" w14:textId="77777777" w:rsidTr="003D1A59">
        <w:tc>
          <w:tcPr>
            <w:tcW w:w="2405" w:type="dxa"/>
          </w:tcPr>
          <w:p w14:paraId="4E67609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EF0FCB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w:t>
            </w:r>
          </w:p>
        </w:tc>
      </w:tr>
      <w:tr w:rsidR="00317816" w:rsidRPr="00C24D02" w14:paraId="363DFF4C" w14:textId="77777777" w:rsidTr="003D1A59">
        <w:tc>
          <w:tcPr>
            <w:tcW w:w="2405" w:type="dxa"/>
          </w:tcPr>
          <w:p w14:paraId="192D79B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0A432D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1CA84AA7" w14:textId="77777777" w:rsidTr="003D1A59">
        <w:tc>
          <w:tcPr>
            <w:tcW w:w="2405" w:type="dxa"/>
          </w:tcPr>
          <w:p w14:paraId="0377E71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93"/>
            </w:r>
            <w:r w:rsidRPr="00C24D02">
              <w:rPr>
                <w:rFonts w:asciiTheme="minorHAnsi" w:eastAsia="Calibri" w:hAnsiTheme="minorHAnsi" w:cstheme="minorHAnsi"/>
              </w:rPr>
              <w:t>)</w:t>
            </w:r>
          </w:p>
        </w:tc>
        <w:tc>
          <w:tcPr>
            <w:tcW w:w="6378" w:type="dxa"/>
          </w:tcPr>
          <w:p w14:paraId="29EA4D6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3/2/-/3</w:t>
            </w:r>
          </w:p>
        </w:tc>
      </w:tr>
      <w:tr w:rsidR="00317816" w:rsidRPr="00C24D02" w14:paraId="7F032DAC" w14:textId="77777777" w:rsidTr="003D1A59">
        <w:tc>
          <w:tcPr>
            <w:tcW w:w="2405" w:type="dxa"/>
          </w:tcPr>
          <w:p w14:paraId="7F44A12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6E7A074"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37FC0DC8" w14:textId="77777777" w:rsidR="00317816" w:rsidRPr="00C24D02" w:rsidRDefault="00317816" w:rsidP="00317816">
      <w:pPr>
        <w:spacing w:after="144" w:line="360" w:lineRule="auto"/>
        <w:rPr>
          <w:rFonts w:asciiTheme="minorHAnsi" w:hAnsiTheme="minorHAnsi" w:cstheme="minorHAnsi"/>
        </w:rPr>
      </w:pPr>
    </w:p>
    <w:p w14:paraId="5BA97384"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Excelentní výsledek</w:t>
      </w:r>
    </w:p>
    <w:p w14:paraId="0EC1823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lastRenderedPageBreak/>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0AC799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Biblio výsledek s evidenčním číslem 192247140 hodnocený v MODULU 1 obdržel finální známku 3, i přestože se dle názoru vedení Fakulty potravinářské a biochemické technologie (VŠCHT Praha) jedná o excelentní výsledek s významným přínosem pro obor 1.4 Chemical sciences – 10406 Analytical chemistry. Hodnocení 3 v případě kritéria přínosu k poznání v daném oboru je zpravidla přiřazováno výsledkům, které pouze doplňují poznatky v oboru analytická chemie a mají určitý potenciál pro navazující výzkum. S tímto škálováním nesouhlasíme, neboť se jednalo o vývoj a validaci zcela nové analytické metody, která popisuje analytické stanovení až 54 pyrolizidinových a tropanových alkaloidů ve značně variabilních potravinářských matricích (mouka, koření, čaje). Je důležité podotknout, že metoda na rozdíl od ostatních publikací umožňuje stanovení izomerů alkaloidů a odvozených N-oxidů. Studie vznikala v reakci na žádost Evropské komise o aktualizované hodnocení rizika, které by zohledňovalo odhady expozice pomocí nejnovějších údajů o množství těchto toxinů v medu, čaji, bylinných čajích a doplňcích stravy. Veškeré tyto údaje byly součástí popisu Biblio výsledku, a proto nám nepřipadá škálování 3 v pořádku. Motivaci pro danou studii i její mezinárodní význam všichni hodnotitelé ocenili, rovněž zmiňují citační ohlas, který je svědomitě popsán a v předloženém textu diskutován. Dle názoru fakulty je studie originální a přináší významné poznatky v oboru analýzy a bezpečnosti potravin. Z výše uvedeného plyne, že Biblio výsledek má potenciál ovlivnit specifickou část v daném oboru = škála 2.</w:t>
      </w:r>
    </w:p>
    <w:p w14:paraId="63C0EC3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Výzkumná organizace podává odvolání proti výslednému stupni hodnocení 3. Výsledek představuje článek zaměřený na vývoj metody pro LC-MS stanovení velkého rozsahu alkaloidů pomocí RP a HILIC separace. Výsledek byl hodnocen 2 nezávislými oponenty známkou 2 a 3. Oba oponenti hodnotí výsledek kladně a vyzdvihují potřebnost prezentované metody. Hodnocení oponentů se mírně rozchází u náhledu na počet získaných citací, které ale slouží jen jako podpůrný indikátor a nejsou důležitým faktorem pro toto hodnocení. Práce je hodnocena podle kritéria přínosu k poznání, u kterého nelze brát v podtaz společenskou potřebnost, která je dokládána např. žádostí Evropské komise o aktualizaci rizik. Takové hodnocení by odpovídalo kritériu společenská relevance. Z pohledu přínosu k poznání v oblasti analytické chemie je práce omezena na využití známých analytických metod a postupů pro vybranou kvalitní a důležitou aplikaci. K výslednému stupni hodnocení 3 se přiklonil garant bibliografie na základě hodnocení oponentů a srovnání s ostatními </w:t>
      </w:r>
      <w:r w:rsidRPr="00C24D02">
        <w:rPr>
          <w:rFonts w:asciiTheme="minorHAnsi" w:hAnsiTheme="minorHAnsi" w:cstheme="minorHAnsi"/>
        </w:rPr>
        <w:lastRenderedPageBreak/>
        <w:t>hodnocenými výsledky v rámci panelu, na jehož základě přínos k poznání hodnocené práce odpovídá hodnocení velmi dobrý výsledek mezinárodně uznávaný. S ohledem na výše uvedené panel nadále trvá na hodnocení 3.</w:t>
      </w:r>
    </w:p>
    <w:p w14:paraId="7B32144D"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3.</w:t>
      </w:r>
    </w:p>
    <w:p w14:paraId="4B41BB84"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73D2682B" w14:textId="2A749BE6"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0E145B93" w14:textId="77777777" w:rsidTr="003D1A59">
        <w:tc>
          <w:tcPr>
            <w:tcW w:w="2405" w:type="dxa"/>
          </w:tcPr>
          <w:p w14:paraId="69F33BC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3348E20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Vysoká škola chemicko-technologická v Praze</w:t>
            </w:r>
          </w:p>
        </w:tc>
      </w:tr>
      <w:tr w:rsidR="00317816" w:rsidRPr="00C24D02" w14:paraId="536D1448" w14:textId="77777777" w:rsidTr="003D1A59">
        <w:tc>
          <w:tcPr>
            <w:tcW w:w="2405" w:type="dxa"/>
          </w:tcPr>
          <w:p w14:paraId="3E09C3E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17AC98C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192169479</w:t>
            </w:r>
          </w:p>
        </w:tc>
      </w:tr>
      <w:tr w:rsidR="00317816" w:rsidRPr="00C24D02" w14:paraId="34A62DCB" w14:textId="77777777" w:rsidTr="003D1A59">
        <w:trPr>
          <w:trHeight w:val="741"/>
        </w:trPr>
        <w:tc>
          <w:tcPr>
            <w:tcW w:w="2405" w:type="dxa"/>
          </w:tcPr>
          <w:p w14:paraId="1AAFE4C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8E858D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Poor chemical and microbiological quality of the commercial milk thistle-based dietary supplements may account for their reported unsatisfactory and non-reproducible clinical outcomes</w:t>
            </w:r>
          </w:p>
        </w:tc>
      </w:tr>
      <w:tr w:rsidR="00317816" w:rsidRPr="00C24D02" w14:paraId="05B9C31B" w14:textId="77777777" w:rsidTr="003D1A59">
        <w:tc>
          <w:tcPr>
            <w:tcW w:w="2405" w:type="dxa"/>
          </w:tcPr>
          <w:p w14:paraId="663782D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AA4220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w:t>
            </w:r>
          </w:p>
        </w:tc>
      </w:tr>
      <w:tr w:rsidR="00317816" w:rsidRPr="00C24D02" w14:paraId="01BDA462" w14:textId="77777777" w:rsidTr="003D1A59">
        <w:tc>
          <w:tcPr>
            <w:tcW w:w="2405" w:type="dxa"/>
          </w:tcPr>
          <w:p w14:paraId="427E999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DD6BA8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031C497A" w14:textId="77777777" w:rsidTr="003D1A59">
        <w:tc>
          <w:tcPr>
            <w:tcW w:w="2405" w:type="dxa"/>
          </w:tcPr>
          <w:p w14:paraId="6357FBF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94"/>
            </w:r>
            <w:r w:rsidRPr="00C24D02">
              <w:rPr>
                <w:rFonts w:asciiTheme="minorHAnsi" w:eastAsia="Calibri" w:hAnsiTheme="minorHAnsi" w:cstheme="minorHAnsi"/>
              </w:rPr>
              <w:t>)</w:t>
            </w:r>
          </w:p>
        </w:tc>
        <w:tc>
          <w:tcPr>
            <w:tcW w:w="6378" w:type="dxa"/>
          </w:tcPr>
          <w:p w14:paraId="4169638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2/3/-/3</w:t>
            </w:r>
          </w:p>
        </w:tc>
      </w:tr>
      <w:tr w:rsidR="00317816" w:rsidRPr="00C24D02" w14:paraId="4951A4B1" w14:textId="77777777" w:rsidTr="003D1A59">
        <w:tc>
          <w:tcPr>
            <w:tcW w:w="2405" w:type="dxa"/>
          </w:tcPr>
          <w:p w14:paraId="6F3B847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955BD72"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5C27F1D1" w14:textId="77777777" w:rsidR="00317816" w:rsidRPr="00C24D02" w:rsidRDefault="00317816" w:rsidP="00317816">
      <w:pPr>
        <w:spacing w:after="144" w:line="360" w:lineRule="auto"/>
        <w:rPr>
          <w:rFonts w:asciiTheme="minorHAnsi" w:hAnsiTheme="minorHAnsi" w:cstheme="minorHAnsi"/>
        </w:rPr>
      </w:pPr>
    </w:p>
    <w:p w14:paraId="0374BEC3"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Excelentní výsledek</w:t>
      </w:r>
    </w:p>
    <w:p w14:paraId="30C6FE8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D1F6A0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Biblio výsledek s evidenčním číslem 192169479 hodnocený v MODULU 1 obdržel finální známku 3, i přestože se dle názoru vedení Fakulty potravinářské a biochemické technologie (VŠCHT Praha) jedná o excelentní výsledek s významným přínosem pro obor 1.4 Chemical </w:t>
      </w:r>
      <w:r w:rsidRPr="00C24D02">
        <w:rPr>
          <w:rFonts w:asciiTheme="minorHAnsi" w:hAnsiTheme="minorHAnsi" w:cstheme="minorHAnsi"/>
        </w:rPr>
        <w:lastRenderedPageBreak/>
        <w:t>sciences – 10406 Analytical chemistry. Hodnocení 3 v případě kritéria přínosu k poznání v daném oboru je zpravidla přiřazováno výsledkům, které pouze doplňují poznatky v oboru analytická chemie a mají určitý potenciál pro navazující výzkum. S tímto škálováním nesouhlasíme, neboť se jednalo o unikátní a nový směr výzkumu popisující obsah hepatotoxických mykotoxinů a nežádoucích reziduí pesticidů a alkaloidů v doplňcích stravy z ostropestřce mariánského, které mají deklarovaný hepatoprotektivní či detoxikační účinek. Jedná se o zcela nové poznatky a zjištění, které motivovaly další výzkum v oblasti bezpečnosti potravin a také kvality doplňků stravy. Studie poukazuje na nutnost kontroly dietárních suplementů, které se podle autorů mohou značně lišit svojí kvalitou. Tento fakt obecně platí pro vybraný segment trhu. Autoři pro svoji studii použili moderní techniku U-HPLC-HRMS. Veškeré tyto údaje byly součástí popisu Biblio výsledku, a proto nám nepřipadá škálování 3 v pořádku. Motivaci pro danou studii, její využitelnost i mezinárodní význam všichni hodnotitelé navíc ocenili. Dle názoru fakulty je studie při nejmenším originální a přináší významné poznatky v oboru analýzy a bezpečnosti potravin. Z výše uvedeného plyne, že Biblio výsledek má potenciál ovlivnit specifickou část v daném oboru = škála 2.</w:t>
      </w:r>
    </w:p>
    <w:p w14:paraId="193307A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Výzkumná organizace se odvolává proti výsledné známce 3. Hodnocený výsledek představuje publikaci v odborném časopise zaměřenou na kontrolu kontaminantů a účinných složek v rostlinných doplňcích stravy na bázi ostropestřce. Jedná se o kvalitní práci, která byla kladně hodnocena i 2 nezávislými oponenty s finálním hodnocením 2 a 3. Výslednou známku rozhodl garant bibliografie na základě příhlédnutí k faktu, že se jedná o aplikaci známých metod a postupů na vybranou a velmi úzce zaměřenou aplikaci, která nemá významný dopad na přínos k poznání, v jehož rámci byla práce hodnocena. Výsledná známka byla vybrána i na základě srovnání s ostatními výsledky hodnocenými v rámci panelu a odpovídá stupni velmi dobrý výsledek mezinárodně uznávaný. Na základě výše popsaného panel nadále trvá na hodnocení 3.</w:t>
      </w:r>
    </w:p>
    <w:p w14:paraId="55B9503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3.</w:t>
      </w:r>
    </w:p>
    <w:p w14:paraId="4147DAF9"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626DDB55" w14:textId="568D80C6"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350EFB8" w14:textId="77777777" w:rsidTr="003D1A59">
        <w:tc>
          <w:tcPr>
            <w:tcW w:w="2405" w:type="dxa"/>
          </w:tcPr>
          <w:p w14:paraId="2B84278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Instituce</w:t>
            </w:r>
          </w:p>
        </w:tc>
        <w:tc>
          <w:tcPr>
            <w:tcW w:w="6378" w:type="dxa"/>
          </w:tcPr>
          <w:p w14:paraId="07ECD26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Vysoká škola chemicko-technologická v Praze</w:t>
            </w:r>
          </w:p>
        </w:tc>
      </w:tr>
      <w:tr w:rsidR="00317816" w:rsidRPr="00C24D02" w14:paraId="570C462D" w14:textId="77777777" w:rsidTr="003D1A59">
        <w:tc>
          <w:tcPr>
            <w:tcW w:w="2405" w:type="dxa"/>
          </w:tcPr>
          <w:p w14:paraId="73093D0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447852C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192423983</w:t>
            </w:r>
          </w:p>
        </w:tc>
      </w:tr>
      <w:tr w:rsidR="00317816" w:rsidRPr="00C24D02" w14:paraId="7CF3987E" w14:textId="77777777" w:rsidTr="003D1A59">
        <w:trPr>
          <w:trHeight w:val="741"/>
        </w:trPr>
        <w:tc>
          <w:tcPr>
            <w:tcW w:w="2405" w:type="dxa"/>
          </w:tcPr>
          <w:p w14:paraId="0CED1AC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F29AD8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A Cell Membrane Targeting Molybdenum-Iodine Nanocluster: Rational Ligand Design toward Enhanced Photodynamic Activity</w:t>
            </w:r>
          </w:p>
        </w:tc>
      </w:tr>
      <w:tr w:rsidR="00317816" w:rsidRPr="00C24D02" w14:paraId="0FD2AE96" w14:textId="77777777" w:rsidTr="003D1A59">
        <w:tc>
          <w:tcPr>
            <w:tcW w:w="2405" w:type="dxa"/>
          </w:tcPr>
          <w:p w14:paraId="282E024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81B067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317816" w:rsidRPr="00C24D02" w14:paraId="356FDA62" w14:textId="77777777" w:rsidTr="003D1A59">
        <w:tc>
          <w:tcPr>
            <w:tcW w:w="2405" w:type="dxa"/>
          </w:tcPr>
          <w:p w14:paraId="2080774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B6D916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0D88795B" w14:textId="77777777" w:rsidTr="003D1A59">
        <w:tc>
          <w:tcPr>
            <w:tcW w:w="2405" w:type="dxa"/>
          </w:tcPr>
          <w:p w14:paraId="1F19C3D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95"/>
            </w:r>
            <w:r w:rsidRPr="00C24D02">
              <w:rPr>
                <w:rFonts w:asciiTheme="minorHAnsi" w:eastAsia="Calibri" w:hAnsiTheme="minorHAnsi" w:cstheme="minorHAnsi"/>
              </w:rPr>
              <w:t>)</w:t>
            </w:r>
          </w:p>
        </w:tc>
        <w:tc>
          <w:tcPr>
            <w:tcW w:w="6378" w:type="dxa"/>
          </w:tcPr>
          <w:p w14:paraId="3A7AA13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2/3/-/3</w:t>
            </w:r>
          </w:p>
        </w:tc>
      </w:tr>
      <w:tr w:rsidR="00317816" w:rsidRPr="00C24D02" w14:paraId="5260BE23" w14:textId="77777777" w:rsidTr="003D1A59">
        <w:tc>
          <w:tcPr>
            <w:tcW w:w="2405" w:type="dxa"/>
          </w:tcPr>
          <w:p w14:paraId="47A4438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3BF0649"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646B3794" w14:textId="77777777" w:rsidR="00317816" w:rsidRPr="00C24D02" w:rsidRDefault="00317816" w:rsidP="00317816">
      <w:pPr>
        <w:spacing w:after="144" w:line="360" w:lineRule="auto"/>
        <w:rPr>
          <w:rFonts w:asciiTheme="minorHAnsi" w:hAnsiTheme="minorHAnsi" w:cstheme="minorHAnsi"/>
        </w:rPr>
      </w:pPr>
    </w:p>
    <w:p w14:paraId="0040141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Excelentní výsledek</w:t>
      </w:r>
    </w:p>
    <w:p w14:paraId="354E87D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0BE681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výsledek s evidenčním číslem 192423983 hodnocený v MODULU 1 obdržel finální známku 3, i přestože se dle názoru vedení Fakulty potravinářské a biochemické technologie (VŠCHT Praha) jedná o excelentní výsledek s významným přínosem pro obor 1.4 Chemical sciences – 10402 Inorganic and nuclear chemistry. Hodnocení 3 v případě kritéria přínosu k poznání v daném oboru je zpravidla přiřazováno výsledkům, které pouze doplňují poznatky v oboru anorganická chemie a mají určitý potenciál pro navazující výzkum. S tímto škálováním nesouhlasíme, neboť se jednalo o přípravu zcela nových fotosenzibilizátorů singletového kyslíku s jasně deklarovaným cílem zvýšení účinnosti fotodynamické terapie. Těchto cílů autoři ve své vysoce originální studii dosáhli. Všichni hodnotitelé se shodují, že je předložený výsledek mezinárodně uznávaný, jedná se o racionální návrh ligandů a publikace jasně přispívá k lidskému poznání. Proto fakulta nerozumí navrženému hodnocení 3, připadá nám neférové. Dle našeho názoru výsledek přináší zásadní průlom na poli fotodynamické terapie a zcela jistě otevírá nové směry výzkumu a na těchto poznatcích již staví svůj vlastní výzkum prestižní </w:t>
      </w:r>
      <w:r w:rsidRPr="00C24D02">
        <w:rPr>
          <w:rFonts w:asciiTheme="minorHAnsi" w:hAnsiTheme="minorHAnsi" w:cstheme="minorHAnsi"/>
        </w:rPr>
        <w:lastRenderedPageBreak/>
        <w:t xml:space="preserve">mezinárodní týmy. Je otázkou nakolik je výsledek průlomový (škála 1 až 2). Navržené hodnocení neodpovídá představené kvalitě a přínosu výsledku k poznání. </w:t>
      </w:r>
    </w:p>
    <w:p w14:paraId="43AC6E4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Instituce ve svém odvolání vznáší námitku vůči udělenému hodnocení „3“, které podle ní neodpovídá jejímu významu a které podle jejího názoru představuje excelentní výsledek s významným přínosem pro obor 1.4 Chemical Sciences – 10402 Inorganic and Nuclear Chemistry." Panel však konstatuje, že výsledek byl – na základě žádosti předkládající instituce – posuzován z hlediska jeho přínosu k poznání v oboru 1.6 Biological Sciences, v podoboru Biochemistry and Molecular Biology. Udělené hodnocení bylo rigorózně provedeno a je v tomto oboru adekvátní.</w:t>
      </w:r>
    </w:p>
    <w:p w14:paraId="490EB863"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3.</w:t>
      </w:r>
    </w:p>
    <w:p w14:paraId="54C482B5" w14:textId="77777777" w:rsidR="00317816" w:rsidRPr="00C24D02" w:rsidRDefault="00317816" w:rsidP="00317816">
      <w:pPr>
        <w:spacing w:before="240" w:after="144" w:line="360" w:lineRule="auto"/>
        <w:jc w:val="both"/>
        <w:rPr>
          <w:rFonts w:asciiTheme="minorHAnsi" w:hAnsiTheme="minorHAnsi" w:cstheme="minorHAnsi"/>
          <w:shd w:val="clear" w:color="auto" w:fill="FF8000"/>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 xml:space="preserve">pro vědu, výzkum a inovace: </w:t>
      </w:r>
      <w:r w:rsidRPr="00C24D02">
        <w:rPr>
          <w:rFonts w:asciiTheme="minorHAnsi" w:eastAsia="Calibri" w:hAnsiTheme="minorHAnsi" w:cstheme="minorHAnsi"/>
          <w:bCs/>
        </w:rPr>
        <w:t>bez vyjádření</w:t>
      </w:r>
      <w:r w:rsidRPr="00C24D02">
        <w:rPr>
          <w:rFonts w:asciiTheme="minorHAnsi" w:eastAsia="Calibri" w:hAnsiTheme="minorHAnsi" w:cstheme="minorHAnsi"/>
          <w:b/>
          <w:u w:val="single"/>
        </w:rPr>
        <w:t xml:space="preserve"> </w:t>
      </w:r>
    </w:p>
    <w:p w14:paraId="0A64230E" w14:textId="0D920AF1"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se závěry Odborného panelu a ponecháním původního hodnocení, které bylo uděleno podle pravidel Metodiky 2017+.</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0BE33115" w14:textId="77777777" w:rsidTr="003D1A59">
        <w:tc>
          <w:tcPr>
            <w:tcW w:w="2405" w:type="dxa"/>
          </w:tcPr>
          <w:p w14:paraId="3EA184D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9" w:type="dxa"/>
          </w:tcPr>
          <w:p w14:paraId="5571DAC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Vysoká škola chemicko-technologická v Praze</w:t>
            </w:r>
          </w:p>
        </w:tc>
      </w:tr>
      <w:tr w:rsidR="00317816" w:rsidRPr="00C24D02" w14:paraId="402AF2BA" w14:textId="77777777" w:rsidTr="003D1A59">
        <w:tc>
          <w:tcPr>
            <w:tcW w:w="2405" w:type="dxa"/>
          </w:tcPr>
          <w:p w14:paraId="25DEA0D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9" w:type="dxa"/>
          </w:tcPr>
          <w:p w14:paraId="68CDF48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192445049</w:t>
            </w:r>
          </w:p>
        </w:tc>
      </w:tr>
      <w:tr w:rsidR="00317816" w:rsidRPr="00C24D02" w14:paraId="63DB448C" w14:textId="77777777" w:rsidTr="003D1A59">
        <w:trPr>
          <w:trHeight w:val="741"/>
        </w:trPr>
        <w:tc>
          <w:tcPr>
            <w:tcW w:w="2405" w:type="dxa"/>
          </w:tcPr>
          <w:p w14:paraId="4AAEA3E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9" w:type="dxa"/>
          </w:tcPr>
          <w:p w14:paraId="28D3E3E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Antibiofilm activity of silver nanoparticles biosynthesized using viticultural waste</w:t>
            </w:r>
          </w:p>
        </w:tc>
      </w:tr>
      <w:tr w:rsidR="00317816" w:rsidRPr="00C24D02" w14:paraId="76342DB4" w14:textId="77777777" w:rsidTr="003D1A59">
        <w:tc>
          <w:tcPr>
            <w:tcW w:w="2405" w:type="dxa"/>
          </w:tcPr>
          <w:p w14:paraId="6DE1A61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9" w:type="dxa"/>
          </w:tcPr>
          <w:p w14:paraId="04ACDA0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317816" w:rsidRPr="00C24D02" w14:paraId="7769CA30" w14:textId="77777777" w:rsidTr="003D1A59">
        <w:tc>
          <w:tcPr>
            <w:tcW w:w="2405" w:type="dxa"/>
          </w:tcPr>
          <w:p w14:paraId="4ACA4E5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9" w:type="dxa"/>
          </w:tcPr>
          <w:p w14:paraId="4E2B8A6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5921B4AA" w14:textId="77777777" w:rsidTr="003D1A59">
        <w:tc>
          <w:tcPr>
            <w:tcW w:w="2405" w:type="dxa"/>
          </w:tcPr>
          <w:p w14:paraId="307E90C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96"/>
            </w:r>
            <w:r w:rsidRPr="00C24D02">
              <w:rPr>
                <w:rFonts w:asciiTheme="minorHAnsi" w:eastAsia="Calibri" w:hAnsiTheme="minorHAnsi" w:cstheme="minorHAnsi"/>
              </w:rPr>
              <w:t>)</w:t>
            </w:r>
          </w:p>
        </w:tc>
        <w:tc>
          <w:tcPr>
            <w:tcW w:w="6379" w:type="dxa"/>
          </w:tcPr>
          <w:p w14:paraId="0285913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2/3/-/3</w:t>
            </w:r>
          </w:p>
        </w:tc>
      </w:tr>
      <w:tr w:rsidR="00317816" w:rsidRPr="00C24D02" w14:paraId="7F547520" w14:textId="77777777" w:rsidTr="003D1A59">
        <w:tc>
          <w:tcPr>
            <w:tcW w:w="2405" w:type="dxa"/>
          </w:tcPr>
          <w:p w14:paraId="7D1CBFF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9" w:type="dxa"/>
          </w:tcPr>
          <w:p w14:paraId="52FE42C6"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661E4C9A" w14:textId="77777777" w:rsidR="00317816" w:rsidRPr="00C24D02" w:rsidRDefault="00317816" w:rsidP="00317816">
      <w:pPr>
        <w:spacing w:after="144" w:line="360" w:lineRule="auto"/>
        <w:rPr>
          <w:rFonts w:asciiTheme="minorHAnsi" w:hAnsiTheme="minorHAnsi" w:cstheme="minorHAnsi"/>
        </w:rPr>
      </w:pPr>
    </w:p>
    <w:p w14:paraId="336D9314"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lastRenderedPageBreak/>
        <w:t>Námitka: Excelentní výsledek</w:t>
      </w:r>
    </w:p>
    <w:p w14:paraId="0DB025A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9A16B2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Biblio výsledek s evidenčním číslem 192445049 hodnocený v MODULU 1 obdržel finální známku 3, i přestože se dle názoru vedení Fakulty potravinářské a biochemické technologie (VŠCHT Praha) jedná o excelentní výsledek s významným přínosem pro obor 1.6 Biological sciences – 10606 Microbiology. Hodnocení 3 v případě kritéria přínosu k poznání v daném oboru je zpravidla přiřazováno výsledkům, které pouze doplňují poznatky v oboru mikrobiologie a mají určitý potenciál pro navazující výzkum. S tímto škálováním nesouhlasíme, neboť se jednalo o vysoce aktuální a udržitelné využití druhotné suroviny, v tomto případě odpadu z vinařského sektoru jako antimikrobiálního přípravku připraveného „zelenou“ cestou. Studie má značný citační ohlas. Rádi bychom podotkli, že nový typ odpadní suroviny přináší nečekané problémy v praxi i laboratoři. Využití odpadních surovin sice není nové, ale autoři využili druhotnou suroviny pro tyto účely jako první, originalita jejich přístupu je tudíž nezpochybnitelná. Všichni hodnotitelé se shodují, že je předložený výsledek mezinárodně uznávaný a publikace jasně přispívá k lidskému poznání v oblasti antimikrobiálních přípravků vůči významnému patogenu jakým je </w:t>
      </w:r>
      <w:r w:rsidRPr="00C24D02">
        <w:rPr>
          <w:rFonts w:asciiTheme="minorHAnsi" w:hAnsiTheme="minorHAnsi" w:cstheme="minorHAnsi"/>
          <w:i/>
          <w:iCs/>
        </w:rPr>
        <w:t>Candida albicans</w:t>
      </w:r>
      <w:r w:rsidRPr="00C24D02">
        <w:rPr>
          <w:rFonts w:asciiTheme="minorHAnsi" w:hAnsiTheme="minorHAnsi" w:cstheme="minorHAnsi"/>
        </w:rPr>
        <w:t xml:space="preserve">. Dle názoru fakulty je studie při nejmenším originální a přináší významné poznatky v oboru mikrobiologie. Z výše uvedeného plyne, že Biblio výsledek má potenciál ovlivnit specifickou část v daném oboru = škála 2. </w:t>
      </w:r>
    </w:p>
    <w:p w14:paraId="0097CDA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Instituce ve svém odvolání vznáší námitku vůči udělenému hodnocení „3“, které podle jejího názoru neodpovídá významu předloženého výsledku a které považuje za excelentní. Ve zdůvodnění tohoto stanoviska se instituce odvolává na náročnost práce se studovaným materiálem a zpochybňuje hodnocení originality přístupu jedním z hodnotitelů, jenž uvedl, že „obecný koncept využití zemědělského odpadu pro syntézu nanočástic byl již zkoumán v jiných studiích (tento nápad tedy není nositelem inovativnosti), tato práce však obsahuje inovativní a originální přístupy“. Instituce namítá, že „využití odpadních surovin sice není nové, avšak autoři využili danou druhotnou surovinu pro tyto účely jako první“. Panel při vypořádání odvolání posoudil všechny argumenty instituce a znovu zvážil stanoviska hodnotitelů i vlastní obsah práce. Panel dospěl k závěru, že úroveň originality a inovativnosti (přínosu k poznání) je – v souladu s hodnocením jednoho z hodnotitelů – omezená a nedosahuje úrovně očekávané pro výsledky hodnocené stupněm „2“. Z těchto důvodů panel setrvává na svém původním hodnocení „3“.</w:t>
      </w:r>
    </w:p>
    <w:p w14:paraId="5AB9FC8D"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lastRenderedPageBreak/>
        <w:t xml:space="preserve">Vyjádření Odborného panelu: </w:t>
      </w:r>
      <w:r w:rsidRPr="00C24D02">
        <w:rPr>
          <w:rFonts w:asciiTheme="minorHAnsi" w:hAnsiTheme="minorHAnsi" w:cstheme="minorHAnsi"/>
        </w:rPr>
        <w:t>Panel navrhuje námitce nevyhovět a ponechat původní hodnocení stupněm 3.</w:t>
      </w:r>
    </w:p>
    <w:p w14:paraId="2C1A887D"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52411092" w14:textId="36BA7F51"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FB26D7F" w14:textId="77777777" w:rsidTr="003D1A59">
        <w:tc>
          <w:tcPr>
            <w:tcW w:w="2405" w:type="dxa"/>
          </w:tcPr>
          <w:p w14:paraId="25259C0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EDFEDC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Západočeská univerzita v Plzni - Fakulta filozofická</w:t>
            </w:r>
          </w:p>
        </w:tc>
      </w:tr>
      <w:tr w:rsidR="00317816" w:rsidRPr="00C24D02" w14:paraId="1C829CE2" w14:textId="77777777" w:rsidTr="003D1A59">
        <w:tc>
          <w:tcPr>
            <w:tcW w:w="2405" w:type="dxa"/>
          </w:tcPr>
          <w:p w14:paraId="5B1F786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15BDEE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192390456</w:t>
            </w:r>
          </w:p>
        </w:tc>
      </w:tr>
      <w:tr w:rsidR="00317816" w:rsidRPr="00C24D02" w14:paraId="4A2783A1" w14:textId="77777777" w:rsidTr="003D1A59">
        <w:trPr>
          <w:trHeight w:val="741"/>
        </w:trPr>
        <w:tc>
          <w:tcPr>
            <w:tcW w:w="2405" w:type="dxa"/>
          </w:tcPr>
          <w:p w14:paraId="59C94B9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A65B04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Pain and the Body in Corpus Hippocraticum: A Distributional Semantic Analysis</w:t>
            </w:r>
          </w:p>
        </w:tc>
      </w:tr>
      <w:tr w:rsidR="00317816" w:rsidRPr="00C24D02" w14:paraId="172D8687" w14:textId="77777777" w:rsidTr="003D1A59">
        <w:tc>
          <w:tcPr>
            <w:tcW w:w="2405" w:type="dxa"/>
          </w:tcPr>
          <w:p w14:paraId="68F1A56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963728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6.3</w:t>
            </w:r>
          </w:p>
        </w:tc>
      </w:tr>
      <w:tr w:rsidR="00317816" w:rsidRPr="00C24D02" w14:paraId="51DF3AB2" w14:textId="77777777" w:rsidTr="003D1A59">
        <w:tc>
          <w:tcPr>
            <w:tcW w:w="2405" w:type="dxa"/>
          </w:tcPr>
          <w:p w14:paraId="488EA89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3E6372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740A9C11" w14:textId="77777777" w:rsidTr="003D1A59">
        <w:tc>
          <w:tcPr>
            <w:tcW w:w="2405" w:type="dxa"/>
          </w:tcPr>
          <w:p w14:paraId="7BDBA2D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97"/>
            </w:r>
            <w:r w:rsidRPr="00C24D02">
              <w:rPr>
                <w:rFonts w:asciiTheme="minorHAnsi" w:eastAsia="Calibri" w:hAnsiTheme="minorHAnsi" w:cstheme="minorHAnsi"/>
              </w:rPr>
              <w:t>)</w:t>
            </w:r>
          </w:p>
        </w:tc>
        <w:tc>
          <w:tcPr>
            <w:tcW w:w="6378" w:type="dxa"/>
          </w:tcPr>
          <w:p w14:paraId="34030CB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5/3/3/4</w:t>
            </w:r>
          </w:p>
        </w:tc>
      </w:tr>
      <w:tr w:rsidR="00317816" w:rsidRPr="00C24D02" w14:paraId="3B7AB143" w14:textId="77777777" w:rsidTr="003D1A59">
        <w:tc>
          <w:tcPr>
            <w:tcW w:w="2405" w:type="dxa"/>
          </w:tcPr>
          <w:p w14:paraId="56123A1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44BD017"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3.</w:t>
            </w:r>
          </w:p>
        </w:tc>
      </w:tr>
    </w:tbl>
    <w:p w14:paraId="6CEF25F0" w14:textId="77777777" w:rsidR="00317816" w:rsidRPr="00C24D02" w:rsidRDefault="00317816" w:rsidP="00317816">
      <w:pPr>
        <w:spacing w:after="144" w:line="360" w:lineRule="auto"/>
        <w:rPr>
          <w:rFonts w:asciiTheme="minorHAnsi" w:hAnsiTheme="minorHAnsi" w:cstheme="minorHAnsi"/>
        </w:rPr>
      </w:pPr>
    </w:p>
    <w:p w14:paraId="2D8F56C8"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Proti posudkům hodnotitele H1 a G</w:t>
      </w:r>
    </w:p>
    <w:p w14:paraId="6F01146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7782316"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Tento výsledek má tři posudky Hodnotitelů s výsledkem 5, 3 a 3. Na základě těchto hodnocení Panelista Garant udělil výsledné hodnocení 4. Domníváme se, že shoda dvou hodnotitelů na známce 3 ukazuje, že posudek s hodnocením 5 vybočuje a jedná se o anomálii. Panelista Garant se tedy měl přiklonit k hodnocení převažujícímu, nikoliv výsledné hodnocené zprůměrovat.</w:t>
      </w:r>
    </w:p>
    <w:p w14:paraId="76E6C60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Při bližším seznámení se s posudkem se závěrečným hodnocením 5 se ukazuje, že známka není ani tak hodnocením kvality textu, jako že se jedná spíše o tzv. technickou pětku - </w:t>
      </w:r>
      <w:r w:rsidRPr="00C24D02">
        <w:rPr>
          <w:rFonts w:asciiTheme="minorHAnsi" w:hAnsiTheme="minorHAnsi" w:cstheme="minorHAnsi"/>
        </w:rPr>
        <w:lastRenderedPageBreak/>
        <w:t>hodnotitel je přesvědčen, že článek nepatří do fordu 6.3. Dosvědčují to primárně jeho formulace: „At best, it [the article] provides a minimal discussion of the meanings of medical terms, but this alone does not justify its classification under philosophy. Consequently, its placement in a philosophical context is misguided, making an appropriate evaluation within the field difficult.“ Zjednodušeně řečeno, Hodnotitel uděluje hodnocení 5, protože je přesvědčen, že článek do FORDU 6.3 Philosophy, Ethics and Religion nepatří a nelze jej v jeho rámci adekvátně posoudit. Druzí dva hodnotitelé příslušnost do tohoto FORDu vůbec neproblematizují.</w:t>
      </w:r>
    </w:p>
    <w:p w14:paraId="0E48D05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K tomu je třeba uvést, že článek je sice zařazen do FORD 6.3 Philosophy, Ethics and Religion, nicméně ten se dále člení na D-FORD (Detailed Field of Research and Development), mezi kterými je i D-FORD Philosophy, History and Philosophy of science and technology, do kterého je článek zařazen. To znamená, že do FORDu 6.3 nepatří jen texty čistě filozofické, ale rovněž texty zabývající se dějinami vědy, což je případ uvedeného textu. Tím padá hlavní důvod pro udělení hodnocení 5, které tento hodnotitel uvádí.</w:t>
      </w:r>
    </w:p>
    <w:p w14:paraId="1A6E728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Článek je v rámci oboru metodologicky inovativní a ukazuje potenciál metod, které zde zatím nebyly použity. Ukazuje, že se pomocí těchto metod dá dobrat validním výsledkům. V tomto duchu vyznívají i oba posudky druhých hodnotitelů, kteří mu udělili hodnocení 3: „Předložený článek … se pokouší ověřit přínosnost vyhledávacích algoritmů a statistických metod pro hippokratovské bádání“. resp. „[Výsledek] Představuje promyšlenou metodu textové analýzy, která může v některých ohledech doplňovat tradiční exegetické postupy a umožňuje komplexnější práci s databázemi, než je v oboru běžné.“</w:t>
      </w:r>
    </w:p>
    <w:p w14:paraId="1A2B75D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Oba hodnotitelé pak dále poukazují, že k Hippokratovskému bádání článek žádné nové poznání nepřináší, protože výsledky automatického zpracování se shodují se závěry Hippokratovských badatelů. Oba nicméně upozorňují, že přínos k poznání je třeba spatřovat právě v použité metodě a ověření její spolehlivosti. Dodávají dále, že z hlediska originality a obtížnosti získání je výsledek na mezinárodní úrovni.</w:t>
      </w:r>
    </w:p>
    <w:p w14:paraId="10555F3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Článek je tedy podle obou hodnotitelů třeba hodnotit především jako metodologický a jeho výsledkem je ověření spolehlivosti konkrétních výpočetních přístupů. K tomu podotýkáme, že metodologie vědy, tedy hodnocení a posuzování konkrétních vědeckých </w:t>
      </w:r>
      <w:r w:rsidRPr="00C24D02">
        <w:rPr>
          <w:rFonts w:asciiTheme="minorHAnsi" w:hAnsiTheme="minorHAnsi" w:cstheme="minorHAnsi"/>
        </w:rPr>
        <w:lastRenderedPageBreak/>
        <w:t>metod, je také jednou z disciplín filozofie, což opět zpochybňuje základní argument prvního hodnotitele, který text hodnotil stupněm 5 s odůvodněním, že nepatří do filozofie.</w:t>
      </w:r>
    </w:p>
    <w:p w14:paraId="3631FF0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Na základě výše uvedeného </w:t>
      </w:r>
      <w:r w:rsidRPr="00C24D02">
        <w:rPr>
          <w:rFonts w:asciiTheme="minorHAnsi" w:hAnsiTheme="minorHAnsi" w:cstheme="minorHAnsi"/>
          <w:b/>
        </w:rPr>
        <w:t>žádá výzkumná organizace o změnu hodnocení předmětného výsledku na finální známku 3</w:t>
      </w:r>
      <w:r w:rsidRPr="00C24D02">
        <w:rPr>
          <w:rFonts w:asciiTheme="minorHAnsi" w:hAnsiTheme="minorHAnsi" w:cstheme="minorHAnsi"/>
        </w:rPr>
        <w:t>.</w:t>
      </w:r>
    </w:p>
    <w:p w14:paraId="371228D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Panel se rozhodl hodnotit výsledek známkou 4 s ohledem na omezenou filosofickou hodnotu statě a omezenou, či přinejmenším spornou originalitu.</w:t>
      </w:r>
    </w:p>
    <w:p w14:paraId="4EB5331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Námitka spočívá v tom, že se hodnocení panelu opírá o názor jednoho ze tří hodnotitelů, který považuje stať za filosoficky irelevantní, a klasifikuje ji jako 5, což je podle stěžovatele spíše technická 5, tedy zařazení do špatného panelu. Panel se měl podle námitky přiklonit ke dvěma ostatním hodnotitelům klasifikujícím výstup jako 3. Neměl tedy postupovat pouhým zprůměrováním. Článek je dále podle námitky příspěvkem k historii vědy, a hodnotitelovy výtky se na něj nevztahují, protože se jedná o výstup jako metodologický. Stěžovatel žádá, aby byl výstup hodnocen jako 3.</w:t>
      </w:r>
    </w:p>
    <w:p w14:paraId="1874FC2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Ve vztahu k těmto námitkám panel beze změny trvá na svém předchozím závěru, včetně zdůvodnění. Důvody jsou tyto:</w:t>
      </w:r>
    </w:p>
    <w:p w14:paraId="5AFA2A0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Zaprvé, je třeba konstatovat, že panel nepostupoval a ani nemohl postupovat prostým průměrováním dodaných známek, ale vytvořil hodnocení vlastní na základě dodaných posudků, s nimiž se částečně ztotožnil. K tomu musel vzít v úvahu další faktory, mj. koherenci s ostatními výsledky, jejich originalitou a kvalitou.</w:t>
      </w:r>
    </w:p>
    <w:p w14:paraId="4A2A26E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Za druhé, ve výsledném hodnocení se panel opíral o kritéria kategorie Přínos k poznání a uvedenou škálu, která požaduje původní a obtížný výsledek. Jeho dosažení bylo hodnotiteli explicitně zpochybněno ve smyslu dosažených poznatků, s možnou hodnotou spočívající v použité metodologii. Tato hodnota je však přinejmenším jedním z hodnotitelů popsána jako negativní. </w:t>
      </w:r>
    </w:p>
    <w:p w14:paraId="4E2445A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Za třetí, je třeba konstatovat, že skutečnost užití obtížné metody nebo její představení, k němuž podle hodnotitelů do jisté míry došlo, neřadí ještě výsledek do metodologického bádání, k němuž se stať podle stěžovatele – ale nikoli podle hodnotitelů – řadí. To vyžaduje nejen metodu představit či pouze aplikovat, ale dále analyzovat a reflektovat, což zjevně není cílem statě (viz třeba už její abstrakt či závěr).</w:t>
      </w:r>
    </w:p>
    <w:p w14:paraId="60905B8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 xml:space="preserve">Za čtvrté, ačkoli hodnotitelé vyznačují některé pozitivní rysy statě, jejich závěry jsou souladně zamítavé. Jeden z hodnotitelů takto píše, že je výsledek z hlediska originality a obtížnosti na mezinárodní úrovni, současně ale dodává, že „konkrétní přínos k poznání, nad rámec představení samotné metody, zůstává nejasný.“ Druhý hodnotitel píše, že „článek nepřináší nic, co by již hippokratovští badatelé nevěděli“ a „pouze dodává novou formu starým poznatkům“. </w:t>
      </w:r>
    </w:p>
    <w:p w14:paraId="1D131CD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Za páté, s tím vším je koherentní i třetí posudek, který konstatuje nedostatečný filosofický přínos, k němuž se pak váže námitka stěžovatele. Přínosem v uvedeném filosofickém duchu lze totiž rozumět jakoukoli interpretativní hodnotu dosaženého, nad rámec aplikace uvedené metody, jak konstatováno výše v bodu 3, tedy i v rovině metodologické., </w:t>
      </w:r>
    </w:p>
    <w:p w14:paraId="01450CD7"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510A4D33"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1340871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nesouhlasí s ponecháním původního hodnocení a navrhuje publikaci hodnotit ve shodě se dvěma hodnotiteli stupněm 3. KHV rovněž souhlasí s námitkou, že hodnotitel 1 nezohlednil tematický záběr FORDu 6.3 a jeho hodnocení stupněm „5“ tím bylo ovlivněno. Text hodnocení se známkou 5 rovněž nekoresponduje s hodnoticí škálou, jelikož hodnotitel i přes udělení nejnižšího stupně hodnocení připouštějí přínos v oblasti historie.</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ADA1449" w14:textId="77777777" w:rsidTr="003D1A59">
        <w:tc>
          <w:tcPr>
            <w:tcW w:w="2405" w:type="dxa"/>
          </w:tcPr>
          <w:p w14:paraId="2D8BD32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82F54E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Západočeská univerzita v Plzni - Nové technologie</w:t>
            </w:r>
          </w:p>
        </w:tc>
      </w:tr>
      <w:tr w:rsidR="00317816" w:rsidRPr="00C24D02" w14:paraId="161A6D4A" w14:textId="77777777" w:rsidTr="003D1A59">
        <w:tc>
          <w:tcPr>
            <w:tcW w:w="2405" w:type="dxa"/>
          </w:tcPr>
          <w:p w14:paraId="1B492EF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19B18F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192390623</w:t>
            </w:r>
          </w:p>
        </w:tc>
      </w:tr>
      <w:tr w:rsidR="00317816" w:rsidRPr="00C24D02" w14:paraId="78172F37" w14:textId="77777777" w:rsidTr="003D1A59">
        <w:trPr>
          <w:trHeight w:val="741"/>
        </w:trPr>
        <w:tc>
          <w:tcPr>
            <w:tcW w:w="2405" w:type="dxa"/>
          </w:tcPr>
          <w:p w14:paraId="0EDF7F6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F26A1B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Understanding imprint formation, plastic instabilities and hardness evolutions in FCC, BCC and HCP metal surfaces</w:t>
            </w:r>
          </w:p>
        </w:tc>
      </w:tr>
      <w:tr w:rsidR="00317816" w:rsidRPr="00C24D02" w14:paraId="5915FFED" w14:textId="77777777" w:rsidTr="003D1A59">
        <w:tc>
          <w:tcPr>
            <w:tcW w:w="2405" w:type="dxa"/>
          </w:tcPr>
          <w:p w14:paraId="2C7B383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E2914F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2.10</w:t>
            </w:r>
          </w:p>
        </w:tc>
      </w:tr>
      <w:tr w:rsidR="00317816" w:rsidRPr="00C24D02" w14:paraId="1853486A" w14:textId="77777777" w:rsidTr="003D1A59">
        <w:tc>
          <w:tcPr>
            <w:tcW w:w="2405" w:type="dxa"/>
          </w:tcPr>
          <w:p w14:paraId="3C0809C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1B6BF99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43B7EA27" w14:textId="77777777" w:rsidTr="003D1A59">
        <w:tc>
          <w:tcPr>
            <w:tcW w:w="2405" w:type="dxa"/>
          </w:tcPr>
          <w:p w14:paraId="4E0DB83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98"/>
            </w:r>
            <w:r w:rsidRPr="00C24D02">
              <w:rPr>
                <w:rFonts w:asciiTheme="minorHAnsi" w:eastAsia="Calibri" w:hAnsiTheme="minorHAnsi" w:cstheme="minorHAnsi"/>
              </w:rPr>
              <w:t>)</w:t>
            </w:r>
          </w:p>
        </w:tc>
        <w:tc>
          <w:tcPr>
            <w:tcW w:w="6378" w:type="dxa"/>
          </w:tcPr>
          <w:p w14:paraId="7F60E82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2/3/-/3</w:t>
            </w:r>
          </w:p>
        </w:tc>
      </w:tr>
      <w:tr w:rsidR="00317816" w:rsidRPr="00C24D02" w14:paraId="0E1FC783" w14:textId="77777777" w:rsidTr="003D1A59">
        <w:tc>
          <w:tcPr>
            <w:tcW w:w="2405" w:type="dxa"/>
          </w:tcPr>
          <w:p w14:paraId="019EB1E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Návrh rozhodnutí Rady</w:t>
            </w:r>
          </w:p>
        </w:tc>
        <w:tc>
          <w:tcPr>
            <w:tcW w:w="6378" w:type="dxa"/>
          </w:tcPr>
          <w:p w14:paraId="401C0605"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7435956C" w14:textId="77777777" w:rsidR="00317816" w:rsidRPr="00C24D02" w:rsidRDefault="00317816" w:rsidP="00317816">
      <w:pPr>
        <w:spacing w:after="144" w:line="360" w:lineRule="auto"/>
        <w:rPr>
          <w:rFonts w:asciiTheme="minorHAnsi" w:hAnsiTheme="minorHAnsi" w:cstheme="minorHAnsi"/>
        </w:rPr>
      </w:pPr>
    </w:p>
    <w:p w14:paraId="46B25036"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Mezinárodně uznatelný výsledek</w:t>
      </w:r>
    </w:p>
    <w:p w14:paraId="41BC0AB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65F5272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Hodnotitel 1 vyzdvihuje přínos k poznání uvedeného výsledku a zmiňuje jeho aplikační potenciál. Dále píše, že článek je prokazatelně mezinárodně uznávaný. K udělení známky 2 by bylo vhodné dodat důvod snížení o bod.</w:t>
      </w:r>
    </w:p>
    <w:p w14:paraId="08EB5D2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Hodnotitel 2 píše, že výsledek výrazně rozšířil pochopení efektů velikosti vtisku a jeho mezinárodní uznávanost dokazuje 54 citací. Článek citují prestižní časopisy jako např. Nature Materials. K dnešnímu dni je citací již 64. Opět by bylo vhodné uvést důvod známky 3.</w:t>
      </w:r>
    </w:p>
    <w:p w14:paraId="4862840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Panelista Garant přejímá obě známky a volí tu horší, neuvedl však, proč míra originality a obtížnosti ne zcela naplňuje definici výsledku na vynikající mezinárodní úrovni.</w:t>
      </w:r>
    </w:p>
    <w:p w14:paraId="066FE3F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 základě výše uvedeného </w:t>
      </w:r>
      <w:r w:rsidRPr="00C24D02">
        <w:rPr>
          <w:rFonts w:asciiTheme="minorHAnsi" w:hAnsiTheme="minorHAnsi" w:cstheme="minorHAnsi"/>
          <w:b/>
        </w:rPr>
        <w:t>žádá výzkumná organizace o změnu hodnocení předmětného výsledku na vyšší známku</w:t>
      </w:r>
      <w:r w:rsidRPr="00C24D02">
        <w:rPr>
          <w:rFonts w:asciiTheme="minorHAnsi" w:hAnsiTheme="minorHAnsi" w:cstheme="minorHAnsi"/>
        </w:rPr>
        <w:t>.</w:t>
      </w:r>
    </w:p>
    <w:p w14:paraId="0D89A2B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Po pečlivém zohlednění všech doplňujících argumentů uvedených v námitce i posudků hodnotitelů konstatujeme následující:</w:t>
      </w:r>
    </w:p>
    <w:p w14:paraId="74344FD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Předložený výsledek představuje kvalitní a technicky precizně provedenou studii, která významně přispívá k poznání v oblasti mechanických vlastností kovových materiálů v nanoměřítku. Téma článku je bezesporu signifikantní a jeho dopad je potvrzen nadprůměrnou citovaností od roku 2021. Publikace ovšem nepřináší průlomový objev zásadně posouvající hranice nanotechnologií ani nezavádí zcela novou metodologii, nicméně představuje kvalitní a mezinárodně respektovaný výzkum, což oba posudky poměrně dobře reflektují. Závěrem konstatujeme, že se bezesporu jedná o kvalitní a oborově uznávaný výsledek. Nicméně s ohledem na kritéria pro udělení vyšší známky není naplněna míra originality, výjimečnosti a zejména mezioborového průlomového dopadu, která je pro zvýšení hodnocení vyžadována. Proto doporučujeme původní známku ponechat.</w:t>
      </w:r>
    </w:p>
    <w:p w14:paraId="15E72979"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lastRenderedPageBreak/>
        <w:t xml:space="preserve">Vyjádření Odborného panelu: </w:t>
      </w:r>
      <w:r w:rsidRPr="00C24D02">
        <w:rPr>
          <w:rFonts w:asciiTheme="minorHAnsi" w:hAnsiTheme="minorHAnsi" w:cstheme="minorHAnsi"/>
        </w:rPr>
        <w:t>Panel navrhuje námitce nevyhovět a ponechat původní hodnocení stupněm 3.</w:t>
      </w:r>
    </w:p>
    <w:p w14:paraId="602EB5EF"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45790F96" w14:textId="2BB31002" w:rsidR="00317816" w:rsidRPr="00C24D02" w:rsidRDefault="00317816" w:rsidP="003C778F">
      <w:pPr>
        <w:spacing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3, které bylo uděleno podle stávajících pravidel. Jedná se o publikaci s mezinárodním uznáním a nadprůměrnou kvalitou a velmi dobrou citovaností, nicméně výjimečný přínos výsledku nebyl prokázán.</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648CD46" w14:textId="77777777" w:rsidTr="003D1A59">
        <w:tc>
          <w:tcPr>
            <w:tcW w:w="2405" w:type="dxa"/>
          </w:tcPr>
          <w:p w14:paraId="5057CBA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32D920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Západočeská univerzita v Plzni - Fakulta aplikovaných věd</w:t>
            </w:r>
          </w:p>
        </w:tc>
      </w:tr>
      <w:tr w:rsidR="00317816" w:rsidRPr="00C24D02" w14:paraId="2CF31346" w14:textId="77777777" w:rsidTr="003D1A59">
        <w:tc>
          <w:tcPr>
            <w:tcW w:w="2405" w:type="dxa"/>
          </w:tcPr>
          <w:p w14:paraId="01F7B40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16C2097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192302098</w:t>
            </w:r>
          </w:p>
        </w:tc>
      </w:tr>
      <w:tr w:rsidR="00317816" w:rsidRPr="00C24D02" w14:paraId="6078E596" w14:textId="77777777" w:rsidTr="003D1A59">
        <w:trPr>
          <w:trHeight w:val="741"/>
        </w:trPr>
        <w:tc>
          <w:tcPr>
            <w:tcW w:w="2405" w:type="dxa"/>
          </w:tcPr>
          <w:p w14:paraId="04372F8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426683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Evaluation of convolutional neural networks using a large multi-subject P300 dataset</w:t>
            </w:r>
          </w:p>
        </w:tc>
      </w:tr>
      <w:tr w:rsidR="00317816" w:rsidRPr="00C24D02" w14:paraId="776FCA50" w14:textId="77777777" w:rsidTr="003D1A59">
        <w:tc>
          <w:tcPr>
            <w:tcW w:w="2405" w:type="dxa"/>
          </w:tcPr>
          <w:p w14:paraId="190CA30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4D62C5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1.2</w:t>
            </w:r>
          </w:p>
        </w:tc>
      </w:tr>
      <w:tr w:rsidR="00317816" w:rsidRPr="00C24D02" w14:paraId="72D34FA5" w14:textId="77777777" w:rsidTr="003D1A59">
        <w:tc>
          <w:tcPr>
            <w:tcW w:w="2405" w:type="dxa"/>
          </w:tcPr>
          <w:p w14:paraId="16B14E8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B1F823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14ADAEB2" w14:textId="77777777" w:rsidTr="003D1A59">
        <w:tc>
          <w:tcPr>
            <w:tcW w:w="2405" w:type="dxa"/>
          </w:tcPr>
          <w:p w14:paraId="2FA35AB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99"/>
            </w:r>
            <w:r w:rsidRPr="00C24D02">
              <w:rPr>
                <w:rFonts w:asciiTheme="minorHAnsi" w:eastAsia="Calibri" w:hAnsiTheme="minorHAnsi" w:cstheme="minorHAnsi"/>
              </w:rPr>
              <w:t>)</w:t>
            </w:r>
          </w:p>
        </w:tc>
        <w:tc>
          <w:tcPr>
            <w:tcW w:w="6378" w:type="dxa"/>
          </w:tcPr>
          <w:p w14:paraId="28DBD60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3/4/-/4</w:t>
            </w:r>
          </w:p>
        </w:tc>
      </w:tr>
      <w:tr w:rsidR="00317816" w:rsidRPr="00C24D02" w14:paraId="0451B8A6" w14:textId="77777777" w:rsidTr="003D1A59">
        <w:tc>
          <w:tcPr>
            <w:tcW w:w="2405" w:type="dxa"/>
          </w:tcPr>
          <w:p w14:paraId="66139D5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987A856"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4E255DC5" w14:textId="77777777" w:rsidR="00317816" w:rsidRPr="00C24D02" w:rsidRDefault="00317816" w:rsidP="00317816">
      <w:pPr>
        <w:spacing w:after="144" w:line="360" w:lineRule="auto"/>
        <w:rPr>
          <w:rFonts w:asciiTheme="minorHAnsi" w:hAnsiTheme="minorHAnsi" w:cstheme="minorHAnsi"/>
        </w:rPr>
      </w:pPr>
    </w:p>
    <w:p w14:paraId="0A8B2184"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Námitka proti posudkům</w:t>
      </w:r>
    </w:p>
    <w:p w14:paraId="16917B5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66360096"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Zatímco hodnocení prvního hodnotitele považujeme za přiměřené a odpovídající, hodnocení druhého hodnotitele, které pravděpodobně přispělo i k výsledné známce, nepovažujeme za korektní. Hodnotitel svou známku zdůvodňuje:</w:t>
      </w:r>
    </w:p>
    <w:p w14:paraId="40C172F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w:t>
      </w:r>
      <w:r w:rsidRPr="00C24D02">
        <w:rPr>
          <w:rFonts w:asciiTheme="minorHAnsi" w:hAnsiTheme="minorHAnsi" w:cstheme="minorHAnsi"/>
        </w:rPr>
        <w:tab/>
        <w:t xml:space="preserve">Velmi podprůměrným počtem citací vzhledem ke stáří článku – pokud by hodnotitel býval vyjádřil svůj subjektivní názor, že počet citací považuje za relativně nízký, takovýto názor by nebylo možné rozporovat, ale při vyjádření „velmi podprůměrný“ se ptáme, jakou metriku hodnotitel používá pro stanovení průměrného počtu citací. Součástí námi zaslaného </w:t>
      </w:r>
      <w:r w:rsidRPr="00C24D02">
        <w:rPr>
          <w:rFonts w:asciiTheme="minorHAnsi" w:hAnsiTheme="minorHAnsi" w:cstheme="minorHAnsi"/>
        </w:rPr>
        <w:lastRenderedPageBreak/>
        <w:t>zdůvodnění byly tři nezávislé metriky, Scopus, Dimensions.ai a ResearchGate, které všechny přiřkly výsledku mírně nadprůměrný počet citací vzhledem k oboru a stáří výsledku (což je pak korektně reflektováno prvním hodnotitelem). Ano, několik málo z těchto citací patří jiným výsledkům ZČU, nicméně se nejedná v žádném případě o autocitace, tyto jiné výsledky jsou publikovány jinými autory, tj. uvedené číslo 17 citací ve Scopus je číslem po vyčlenění autocitací všech autorů. V dnešní době (o rok později) má výsledek více než 17 citací i po odečtení prací ze ZČU.</w:t>
      </w:r>
    </w:p>
    <w:p w14:paraId="5864BDA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b)</w:t>
      </w:r>
      <w:r w:rsidRPr="00C24D02">
        <w:rPr>
          <w:rFonts w:asciiTheme="minorHAnsi" w:hAnsiTheme="minorHAnsi" w:cstheme="minorHAnsi"/>
        </w:rPr>
        <w:tab/>
        <w:t>Volbou publikačního média nedosahující špičkové mezinárodní úrovně – posouzení kvality časopisu má být předmětem modulu M2 a nikoliv M1, publikování špičkového výsledku v časopisu, který je v Q3 dle AIS, nemůže být důvodem pro snížení známky; ke kvalitě časopisu lze přihlédnout spíše pro zdůvodnění velmi dobré známky (to, že výsledek byl akceptován v médiu, kde poměr přijatých příspěvků je velmi nízký, napovídá o nadprůměrném úsilí, které muselo být investováno, aby výsledek byl vytvořen).</w:t>
      </w:r>
    </w:p>
    <w:p w14:paraId="2BCCB1E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c)</w:t>
      </w:r>
      <w:r w:rsidRPr="00C24D02">
        <w:rPr>
          <w:rFonts w:asciiTheme="minorHAnsi" w:hAnsiTheme="minorHAnsi" w:cstheme="minorHAnsi"/>
        </w:rPr>
        <w:tab/>
        <w:t>Slabá mezinárodní spolupráce autora předloženého výsledku – předmětem hodnocení v M1 má být předložený výsledek, a nikoliv publikační profil autorů. Navíc to, že výsledek není publikován se spoluautory ze zahraničí není důvodem pro to, aby se nemohlo jednat o výsledek mezinárodní kvality (jak se z posudku hodnotitele zdá). Souhlasíme, že ovlivní-li výsledek silně komunitu, lze očekávat, že budou existovat navazující práce, ve kterých je autor spoluautorem nějakého výstupu s mezinárodním kolektivem. To, že takovéto práce nevznikají ale automaticky neznamená, že výsledek nemá mezinárodní dopad. Důvodů může být vícero, včetně toho, že autor přestal působit v akademické sféře (což je náš případ). Ve svém zdůvodnění ukazujeme, že existují citace ze zahraničních pracovišť, který výsledek citují nikoliv jen v seznamu dalších SotA prací, ale skutečně jako jednu z průkopnických prací.</w:t>
      </w:r>
    </w:p>
    <w:p w14:paraId="66D16C3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Na základě výše uvedeného žádá ZČU o změnu hodnocení předmětného výsledku.</w:t>
      </w:r>
    </w:p>
    <w:p w14:paraId="0B30710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Odborný panel setrvává na svém původním rozhodnutí ohledně hodnocení výsledku. Zaslané námitky vůči jednomu z hodnocení nic nemění na podstatě stanovení výsledné známky panelem. Konkrétně, námitka a) rozporuje formulaci 'velmi podprůměrný počet citací' avšak uznává právo hodnotitele na subjektivní zhodnocení počtu citací jako nedostatečného pro vyšší známku. Rozporovaná formulace však není nic jiného než vyjádření takového subjektivního zhodnocení. Kvalita a kvantita citací byla korektně </w:t>
      </w:r>
      <w:r w:rsidRPr="00C24D02">
        <w:rPr>
          <w:rFonts w:asciiTheme="minorHAnsi" w:hAnsiTheme="minorHAnsi" w:cstheme="minorHAnsi"/>
        </w:rPr>
        <w:lastRenderedPageBreak/>
        <w:t xml:space="preserve">posouzena v souladu se stavem v době hodnocení. Námitka b) rozporuje vyjádřeni hodnotitele k úrovni publikačního média. Vzhledem ke zvolenému kritériu hodnocení 'přínos k poznání' je však nezbytné výsledek zhodnotit i z hlediska dopadu zvoleného publikačního kanálu na (mezinárodní) vědeckou komunitu, což ranking dle zavedených bibliografických metrik odráží. Námitka c) rozporuje kritiku profilu autora v jednom z hodnocení. Taková kritika se však ve vyjádření panelu neopakuje, neboť pro stanovení výsledné známky nebyla zohledněna. </w:t>
      </w:r>
    </w:p>
    <w:p w14:paraId="5C6C586E"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438953B8"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4FC0A931" w14:textId="0F79DE71"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E802D65" w14:textId="77777777" w:rsidTr="003D1A59">
        <w:tc>
          <w:tcPr>
            <w:tcW w:w="2405" w:type="dxa"/>
          </w:tcPr>
          <w:p w14:paraId="2D27A8A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57CC43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Západočeská univerzita v Plzni - Fakulta aplikovaných věd</w:t>
            </w:r>
          </w:p>
        </w:tc>
      </w:tr>
      <w:tr w:rsidR="00317816" w:rsidRPr="00C24D02" w14:paraId="24F99461" w14:textId="77777777" w:rsidTr="003D1A59">
        <w:tc>
          <w:tcPr>
            <w:tcW w:w="2405" w:type="dxa"/>
          </w:tcPr>
          <w:p w14:paraId="165A7D7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88C2F2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192340392</w:t>
            </w:r>
          </w:p>
        </w:tc>
      </w:tr>
      <w:tr w:rsidR="00317816" w:rsidRPr="00C24D02" w14:paraId="4D26510B" w14:textId="77777777" w:rsidTr="003D1A59">
        <w:trPr>
          <w:trHeight w:val="741"/>
        </w:trPr>
        <w:tc>
          <w:tcPr>
            <w:tcW w:w="2405" w:type="dxa"/>
          </w:tcPr>
          <w:p w14:paraId="15BE235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3A5E426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Efficient computational approaches for analysis of thin and flexible multibody structures</w:t>
            </w:r>
          </w:p>
        </w:tc>
      </w:tr>
      <w:tr w:rsidR="00317816" w:rsidRPr="00C24D02" w14:paraId="22B7C133" w14:textId="77777777" w:rsidTr="003D1A59">
        <w:tc>
          <w:tcPr>
            <w:tcW w:w="2405" w:type="dxa"/>
          </w:tcPr>
          <w:p w14:paraId="51FFF4D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361319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4B695643" w14:textId="77777777" w:rsidTr="003D1A59">
        <w:tc>
          <w:tcPr>
            <w:tcW w:w="2405" w:type="dxa"/>
          </w:tcPr>
          <w:p w14:paraId="7E7B917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6588C7E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65A5F3C8" w14:textId="77777777" w:rsidTr="003D1A59">
        <w:tc>
          <w:tcPr>
            <w:tcW w:w="2405" w:type="dxa"/>
          </w:tcPr>
          <w:p w14:paraId="231F196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00"/>
            </w:r>
            <w:r w:rsidRPr="00C24D02">
              <w:rPr>
                <w:rFonts w:asciiTheme="minorHAnsi" w:eastAsia="Calibri" w:hAnsiTheme="minorHAnsi" w:cstheme="minorHAnsi"/>
              </w:rPr>
              <w:t>)</w:t>
            </w:r>
          </w:p>
        </w:tc>
        <w:tc>
          <w:tcPr>
            <w:tcW w:w="6378" w:type="dxa"/>
          </w:tcPr>
          <w:p w14:paraId="7B1EBF8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3/4/-/4</w:t>
            </w:r>
          </w:p>
        </w:tc>
      </w:tr>
      <w:tr w:rsidR="00317816" w:rsidRPr="00C24D02" w14:paraId="10CFCD8A" w14:textId="77777777" w:rsidTr="003D1A59">
        <w:tc>
          <w:tcPr>
            <w:tcW w:w="2405" w:type="dxa"/>
          </w:tcPr>
          <w:p w14:paraId="2A862EC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8BD4A14"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3.</w:t>
            </w:r>
          </w:p>
        </w:tc>
      </w:tr>
    </w:tbl>
    <w:p w14:paraId="0F0CECBF" w14:textId="77777777" w:rsidR="00317816" w:rsidRPr="00C24D02" w:rsidRDefault="00317816" w:rsidP="00317816">
      <w:pPr>
        <w:spacing w:after="144" w:line="360" w:lineRule="auto"/>
        <w:rPr>
          <w:rFonts w:asciiTheme="minorHAnsi" w:hAnsiTheme="minorHAnsi" w:cstheme="minorHAnsi"/>
        </w:rPr>
      </w:pPr>
    </w:p>
    <w:p w14:paraId="7DE3050B"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Výsledek nesplňuje standard mezinárodně uznatelné práce</w:t>
      </w:r>
    </w:p>
    <w:p w14:paraId="094576E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8EF31C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 xml:space="preserve">Výsledek byl podán v posledním možném roce hodnocení. Kategoricky nesouhlasíme s vyjádřením Hodnotitele 2, že výsledek nesplňuje standard mezinárodně uznatelné výzkumné práce a že odezva článku ve vědecké komunitě nebyla významná. Toto vyjádření je mimo jiné v rozporu s vyjádřením Hodnotitele 1. Kromě toho, že článek dosahuje relativně vysokého počtu heterocitací, byl uveřejněn v mezinárodním impaktovaném časopise, který v době publikování článku byl v prvním decilu dle AIS – byl platný JCR year 2019, pozice 12/130 v oboru Engineering, Mechanical – SCIE dle WoS s AIS 0,876. V aktuálně platném žebříčku JCR year 2024 je časopis opět D1 v daném oboru dle WoS. Publikace článku v prestižním časopisu spadajícího do prvního decilu nejkvalitnějších tak mimo jiné znamená, že článek úspěšně prošel důkladným recenzním řízením a je minimálně mezinárodně uznaný, což dle autorů implikuje mezinárodní uznatelnost v rámci hodnocení, neboť se jedná o základní výzkum s patrnou originalitou, jehož význam a obtížnost dosažení jsou doloženy právě publikací v časopisu kategorie D1. </w:t>
      </w:r>
    </w:p>
    <w:p w14:paraId="1B56033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Zmíněná citace https://doi.org/10.1016/j.amc.2023.128447 z hodnocení hodnotitele 2 nemá žádnou výhradu k podstatě hodnoceného článku. Tato citace pouze uvádí vylepšený způsob definování vazebních rovnic (odpovídající konkrétním vazbám – „rigid joint“ a „partially-clamped end“) a to tím způsobem, aby byla zajištěna správnost axiálních sil poblíž takto vázaných uzlů. Dále tato citace uvádí způsob přidání vazbových rovnic pro zajištění kontinuity axiálních sil v případě zatížení uzlu osamělou silou mezi dvěma navazujícími prvky. Nutno podotknout, že zmíněná problematika se hodnoceného článku vůbec netýká, protože v rámci prezentovaných výsledků nejsou použity osamělé síly působící v uzlech ani zmíněné konkrétní vazby. Závěry z hodnoceného článku tedy nejsou touto citací nikterak zpochybněny. Citace tak naopak rozšiřuje oblast využití metodiky popsané v hodnoceném článku.</w:t>
      </w:r>
    </w:p>
    <w:p w14:paraId="4DC690A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Analýza počtu článků a citací v rámci oborů „flexible multibody structure“ a „thin multibody structure“ zmíněných hodnotitelem 2 je nepřesná a velmi zavádějící. Zmíněné oblasti výzkumu jsou definované pouze hodnotitelem 2 a nejsou ani v klíčových slovech hodnoceného článku. Hesel tohoto typu je možné pro zmíněný článek vymyslet více (například téma „efficient numerical simulation“ má za posledních 5 let celkem 22 210 výstupů ve WoS), čímž se vytváří falešný a neobjektivní dojem bezvýznamnosti výsledku. Toto kritérium vymyšlených oblastí výzkumu je tedy z hlediska posouzení citovanosti a významu článku irelevantní. Pro správné a objektivní posouzení citovanosti článku je možné použít index CNCI </w:t>
      </w:r>
      <w:r w:rsidRPr="00C24D02">
        <w:rPr>
          <w:rFonts w:asciiTheme="minorHAnsi" w:hAnsiTheme="minorHAnsi" w:cstheme="minorHAnsi"/>
        </w:rPr>
        <w:lastRenderedPageBreak/>
        <w:t xml:space="preserve">(Category Normalized Citation Impact) algoritmicky generovaný v rámci databáze WoS. Hodnocený článek má aktuálně CNCI na hodnotě 1.05, tedy počet citací článku je nad průměrem dokumentů stejného typu a kategorie. Dalším ukazatelem citovanosti v dané oblasti je tzv. Percentile in subject area, který uvádí procento dokumentů stejného typu, stejné kategorie a stejného roku publikace, které mají nižší počet citací. Hodnocený článek má aktuálně tuto hodnotu na 69,64, tzn. má více citací než přibližně 70 % procent stejně starých článků dané kategorie. Další možností, jak správně posoudit citovanost článku, je využití indexu FWCI (Field-Weighted Citation Impact) databáze Scopus, který opět uvádí poměr citací článku vůči tzv. očekávanému počtu citací z daného oboru, typu publikace a roku. Aktuálně má hodnocený článek FWCI s hodnotou 1.15, takže článek je nadprůměrně citovaný. </w:t>
      </w:r>
    </w:p>
    <w:p w14:paraId="55A9170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Dále bychom chtěli rozporovat hodnocení garanta panelu, které se zakládá na nekritickém převzetí závěrů hodnotitele 2, přičemž závěry hodnotitele 2 jsou zavádějící, jak je popsáno v předchozích odstavcích. Domníváme se, že garant by takovýto typ neobjektivního hodnocení měl automaticky rozpoznat a nebrat na něj při určení finální známky žádný zřetel. Domníváme se, že vědecké výstupy by měly být hodnoceny na základě objektivního hodnocení s využitím dostupných indexů v rámci databází WoS a Scopus, které jsou nestranné. Provedená analýza významu dle hodnotitele 2 lze použít obecně na každý výstup, jehož význam chce někdo snížit, proto je z našeho hlediska neakceptovatelný. V rámci finálního hodnocení hodnoceného výstupu tak došlo k pochybení, na které bychom chtěli tímto vyjádřením upozornit.</w:t>
      </w:r>
    </w:p>
    <w:p w14:paraId="52E68EF6"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Na základě výše uvedeného žádá ZČU o změnu hodnocení předmětného výsledku.</w:t>
      </w:r>
    </w:p>
    <w:p w14:paraId="72075E8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Námitka předkladatele výsledku podrobně rozebírá jednotlivé výhrady H2. Po podrobném prostudování konstatuji, že provedené argumenty je možno považovat za korektní. Námitku předkladatele proto hodnotím jako oprávněnou a výsledné hodnocení upravuji na úroveň 3.</w:t>
      </w:r>
    </w:p>
    <w:p w14:paraId="1FC1BE0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vyhovět a změnit hodnocení na stupeň 3.</w:t>
      </w:r>
    </w:p>
    <w:p w14:paraId="66A4D94E"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bookmarkStart w:id="30" w:name="_Hlk220609142"/>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4AE36A18" w14:textId="515753FD" w:rsidR="00317816" w:rsidRPr="00C24D02" w:rsidRDefault="00317816" w:rsidP="003C778F">
      <w:pPr>
        <w:spacing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se stanoviskem garanta a se změnou hodnocení na stupeň 3 souhlasí. </w:t>
      </w:r>
      <w:bookmarkEnd w:id="30"/>
      <w:r w:rsidRPr="00C24D02">
        <w:rPr>
          <w:rFonts w:asciiTheme="minorHAnsi" w:hAnsiTheme="minorHAnsi" w:cstheme="minorHAnsi"/>
        </w:rPr>
        <w:t>Jedná se o publikaci s mezinárodním uznáním a nadprůměrnou kvalitou, nicméně výjimečný přínos výsledku nebyl prokázán.</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06829E6" w14:textId="77777777" w:rsidTr="003D1A59">
        <w:tc>
          <w:tcPr>
            <w:tcW w:w="2405" w:type="dxa"/>
          </w:tcPr>
          <w:p w14:paraId="116A0AA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Instituce</w:t>
            </w:r>
          </w:p>
        </w:tc>
        <w:tc>
          <w:tcPr>
            <w:tcW w:w="6378" w:type="dxa"/>
          </w:tcPr>
          <w:p w14:paraId="2C27DD7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Západočeská univerzita v Plzni-Fakulta aplikovaných věd</w:t>
            </w:r>
          </w:p>
        </w:tc>
      </w:tr>
      <w:tr w:rsidR="00317816" w:rsidRPr="00C24D02" w14:paraId="42157ACB" w14:textId="77777777" w:rsidTr="003D1A59">
        <w:tc>
          <w:tcPr>
            <w:tcW w:w="2405" w:type="dxa"/>
          </w:tcPr>
          <w:p w14:paraId="071C263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DF2AE4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192562703</w:t>
            </w:r>
          </w:p>
        </w:tc>
      </w:tr>
      <w:tr w:rsidR="00317816" w:rsidRPr="00C24D02" w14:paraId="31CA08B8" w14:textId="77777777" w:rsidTr="003D1A59">
        <w:trPr>
          <w:trHeight w:val="741"/>
        </w:trPr>
        <w:tc>
          <w:tcPr>
            <w:tcW w:w="2405" w:type="dxa"/>
          </w:tcPr>
          <w:p w14:paraId="4D1487C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7A9A27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7 DoF NDT robot</w:t>
            </w:r>
          </w:p>
        </w:tc>
      </w:tr>
      <w:tr w:rsidR="00317816" w:rsidRPr="00C24D02" w14:paraId="4A694D9D" w14:textId="77777777" w:rsidTr="003D1A59">
        <w:tc>
          <w:tcPr>
            <w:tcW w:w="2405" w:type="dxa"/>
          </w:tcPr>
          <w:p w14:paraId="2EBD46B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2E4FE74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w:t>
            </w:r>
          </w:p>
        </w:tc>
      </w:tr>
      <w:tr w:rsidR="00317816" w:rsidRPr="00C24D02" w14:paraId="1079426C" w14:textId="77777777" w:rsidTr="003D1A59">
        <w:tc>
          <w:tcPr>
            <w:tcW w:w="2405" w:type="dxa"/>
          </w:tcPr>
          <w:p w14:paraId="44D3554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A7C5FE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00E8B817" w14:textId="77777777" w:rsidTr="003D1A59">
        <w:tc>
          <w:tcPr>
            <w:tcW w:w="2405" w:type="dxa"/>
          </w:tcPr>
          <w:p w14:paraId="16F5E09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01"/>
            </w:r>
            <w:r w:rsidRPr="00C24D02">
              <w:rPr>
                <w:rFonts w:asciiTheme="minorHAnsi" w:eastAsia="Calibri" w:hAnsiTheme="minorHAnsi" w:cstheme="minorHAnsi"/>
              </w:rPr>
              <w:t>)</w:t>
            </w:r>
          </w:p>
        </w:tc>
        <w:tc>
          <w:tcPr>
            <w:tcW w:w="6378" w:type="dxa"/>
          </w:tcPr>
          <w:p w14:paraId="71B67D1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3/4/-/4</w:t>
            </w:r>
          </w:p>
        </w:tc>
      </w:tr>
      <w:tr w:rsidR="00317816" w:rsidRPr="00C24D02" w14:paraId="09CEFE11" w14:textId="77777777" w:rsidTr="003D1A59">
        <w:tc>
          <w:tcPr>
            <w:tcW w:w="2405" w:type="dxa"/>
          </w:tcPr>
          <w:p w14:paraId="7AEB05C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25495858"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3.</w:t>
            </w:r>
          </w:p>
        </w:tc>
      </w:tr>
    </w:tbl>
    <w:p w14:paraId="64F57A56" w14:textId="77777777" w:rsidR="00317816" w:rsidRPr="00C24D02" w:rsidRDefault="00317816" w:rsidP="00317816">
      <w:pPr>
        <w:spacing w:after="144" w:line="360" w:lineRule="auto"/>
        <w:rPr>
          <w:rFonts w:asciiTheme="minorHAnsi" w:hAnsiTheme="minorHAnsi" w:cstheme="minorHAnsi"/>
        </w:rPr>
      </w:pPr>
    </w:p>
    <w:p w14:paraId="38631CDE"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Vědecko-technická excelence řešení</w:t>
      </w:r>
    </w:p>
    <w:p w14:paraId="4D57528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A05013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Tímto vyjádřením si dovolujeme rozporovat závěrečné hodnocení funkčního vzorku (G) robotického systému pro nedestruktivní testování (NDT) svarových spojů (7 DoF NDT robot), které bylo stanoveno na stupeň 4 (průměrná úroveň/národně uznatelný). Domníváme se, že toto hodnocení, které vycházelo z posudků recenzentů a panelisty-garanta, nedostatečně reflektuje vědecko-technickou excelenci řešení, chybně interpretuje projektový kontext a nerespektuje inherentní aplikační limity při implementaci výsledků v kritické infrastruktuře. Náš rozpor vychází především z následujících námitek:</w:t>
      </w:r>
    </w:p>
    <w:p w14:paraId="1D0D945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w:t>
      </w:r>
      <w:r w:rsidRPr="00C24D02">
        <w:rPr>
          <w:rFonts w:asciiTheme="minorHAnsi" w:hAnsiTheme="minorHAnsi" w:cstheme="minorHAnsi"/>
        </w:rPr>
        <w:tab/>
        <w:t xml:space="preserve">Nedostatek významné excelence a spojení známých a ověřených technologií: Přestože funkční vzorek pochopitelně využívá známé technologie, algoritmy a implementace, unikátnost a excelence řešení spočívá v jejich originální syntéze a směrem k autorům ve zcela otevřené architektuře na všech technologických úrovních (konstrukce, instrumentace, řízení, orchestrace, vizualizace, integrace, …). Tato otevřenost a flexibilita celého systému je stěžejní pro splnění požadavků specialistů NDT a umožňuje pružně měnit nebo definovat zcela nové operační módy robotu. Právě toto unikátní spojení dělá ze systému velmi flexibilní nástroj a </w:t>
      </w:r>
      <w:r w:rsidRPr="00C24D02">
        <w:rPr>
          <w:rFonts w:asciiTheme="minorHAnsi" w:hAnsiTheme="minorHAnsi" w:cstheme="minorHAnsi"/>
        </w:rPr>
        <w:lastRenderedPageBreak/>
        <w:t>vytváří vysoký potenciál komercionalizace v aplikacích, které jsou obtížně robotizovatelné komerčně dostupnými, uzavřenými systémy. Připomeňme, že v souladu s Metodikou 2017+ termíny jako „světová excelence“ v technických oborech nevypovídají nutně o geografickém rámci, ale o standardech kvality. Světovost je posuzována i tehdy, když je výstup v excelentní kvalitě vyvinut speciálně pro potřeby lokální společnosti a řeší specifickou problematiku na úrovni srovnatelné se světovou špičkou.</w:t>
      </w:r>
    </w:p>
    <w:p w14:paraId="2CFFDDB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b)</w:t>
      </w:r>
      <w:r w:rsidRPr="00C24D02">
        <w:rPr>
          <w:rFonts w:asciiTheme="minorHAnsi" w:hAnsiTheme="minorHAnsi" w:cstheme="minorHAnsi"/>
        </w:rPr>
        <w:tab/>
        <w:t>Projekt má jediného příjemce, a to ZČU v Plzni: Tato informace není přesná v kontextu vzniku a uplatnění výsledku. Funkční vzorek je výsledkem řešení mezinárodního projektu ECSEL Joint Undertaking CHARM č. 876362. Výsledek vznikl ve spolupráci se společností ÚJV Řež, a. s. (vedoucí Use-Case 5 “UC5: Nuclear plant maintenance and decommissioning” v projektu CHARM) a firmou SmartMotion, s. r. o. (nebyla součástí konsorcia, jedná se o externího partnera ZČU, který vyvinul a realizoval konstrukci robotu). Důkazem aktivní spolupráce je, že ÚJV Řež, a. s. vyjádřila zájem podílet se na dalším vývoji, customizaci a rozšíření dosaženého výsledku. Společnost Škoda JS, a. s. považuje výsledek za technicky přínosný, byť v současné době NDT kontroly neprovádí v takovém rozsahu, aby potenciál vyvinutého robotu využila. Lokalizace výsledku/potvrzení o užívání je uvedena jak u Západočeské univerzity v Plzni, tak u ÚJV Řež, a.s. Robot je navíc primárně vyvinut pro provozy jaderných elektráren (JE), což podtrhuje jeho charakter jako rezortního výzkumu vznikajícího na společenskou objednávku (kritérium „potřebnosti“). V souvislosti se strategickou energetickou infrastrukturou připomeňme, že technický garant ÚJV Řež, a. s. respektive potenciální zájemce Škoda JS, a.s. představují dva klíčové průmyslové partnery, kteří jsou z 80 % respektive ze 100 % vlastněny skupinou ČEZ, jejímž 70 % vlastníkem je stát.</w:t>
      </w:r>
    </w:p>
    <w:p w14:paraId="6EEA6E3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c)</w:t>
      </w:r>
      <w:r w:rsidRPr="00C24D02">
        <w:rPr>
          <w:rFonts w:asciiTheme="minorHAnsi" w:hAnsiTheme="minorHAnsi" w:cstheme="minorHAnsi"/>
        </w:rPr>
        <w:tab/>
        <w:t xml:space="preserve">Došlo k předčasnému předložení dosaženého výsledku bez prokázání uplatnění na domácím nebo zahraničním trhu: Robotický systém byl využit technickým garantem ÚJV Řež, a. s. v režimu testovacího provozu při reálném zkoušení svarových spojů zkušebních těles nátrubků se závěrem, že vyvinutý systém převyšuje současné možnosti plně automatického zkoušení, a to především pro komplikované geometrie svarů. Uznáváme, že finální komercializace v podobě dále přímo obchodovatelného produktu či služby nebyla plně dosažena, nicméně hodnocení v Modulu 1 má za cíl posoudit především reálný předpoklad relevance výsledku a aplikovatelnosti, nikoli prokázané dopady. V oblasti NDT v kritické infrastruktuře, na kterou je robot zaměřen, je proces konečné komercionalizace a následného </w:t>
      </w:r>
      <w:r w:rsidRPr="00C24D02">
        <w:rPr>
          <w:rFonts w:asciiTheme="minorHAnsi" w:hAnsiTheme="minorHAnsi" w:cstheme="minorHAnsi"/>
        </w:rPr>
        <w:lastRenderedPageBreak/>
        <w:t>uvedení na trh velmi složitý, zdlouhavý a svázaný celou řadou obsáhlých technicko-administrativních postupů. Implementace výsledku tak vede na dlouhodobý iterativní proces, který probíhá v úzké spolupráci technického garanta (ÚJV Řež, a. s.) a tvůrce (ZČU, SmartMotion s. r. o.). Tvůrce samotný, ať už v roli VaV partnera či spolupracujícího průmyslového partnera, má jen velmi limitované možnosti, jak ovlivnit proces komercionalizace, a toto je v podstatě vždy výhradně v gesci technického garanta. Přesto si dovolujeme konstatovat, že vyvinutý robot představuje pokročilý systém, který je důležitý pro program řízeného stárnutí a prodlužování životnosti jaderných zařízení, což představuje významný dopad na společnost či oblast veřejného zájmu. Zároveň je nezbytně nutné předložený funkční vzorek robotu vnímat jako základní stavební kámen a nástroj pro efektivní hledání inovativních inspekčních postupů a rozšiřování možností automatických, přesných a opakovatelných robotických kontrol technologických komponent (typicky právě svarových spojů), které dosud bylo možno kontrolovat nanejvýše manuálně s omezenou přesností, opakovatelností a rizikem expozice lidské obsluhy (radioaktivita, čas expozice).</w:t>
      </w:r>
    </w:p>
    <w:p w14:paraId="3293ADB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 základě výše uvedeného se domníváme, že celkové hodnocení stupněm 4 je neadekvátní vzhledem k vysoké společenské potřebnosti (kontrolní mechanismus kritické infrastruktury), nabídnutému technickému řešení v podobě (vzhledem k autorům) zcela otevřené pokročilé robotické platformy a doloženému reálnému předpokladu uplatnění u klíčových partnerů. Proto ZČU žádá o změnu hodnocení předmětného výsledku. </w:t>
      </w:r>
    </w:p>
    <w:p w14:paraId="667C2F0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w:t>
      </w:r>
    </w:p>
    <w:p w14:paraId="4526034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Funkční vzorek je zajímavý testovací nástroj vytvořený spojením známých technologií. V námitce ZČU uvádí, že "(nástroj) vytváří vysoký potenciál komercionalizace v aplikacích". Jediným dokladem tohoto tvrzení má být dopis Ing. Horáčka z ÚJV Řež zaslaný prorektorovi ZČU. Tento dopis začíná slovy "dovolte nám, abychom Vám představili náš projekt v oblasti NDT".</w:t>
      </w:r>
    </w:p>
    <w:p w14:paraId="5E598B4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Přiznám se, že z této formulace mám dojem, že ÚJV je dodavatel a ZČU je odběratel. Není zřejmé, kdo má jaký díl IPR? Kdo vlastně bude tento systém prodávat a kolik zaplatil/zaplatí druhé straně za jeho prototyp nebo IPR? S postupujícím časem jistě sílí konkurence tohoto potřebného nástroje. Nikdo neuvádí ani jak a kdy bude probíhat komercializace?</w:t>
      </w:r>
    </w:p>
    <w:p w14:paraId="2C41B2C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Dále dopis ÚJV Řež, tj. domnělého uživatele výsledku, pokračuje kupodivu nabídkou konzultací "...rádi bychom se podíleli na dalším vývoji... Nabízíme naše odborné zkušenosti v rámci technických konzultací, smluvního výzkumu a dotačních projektů. Věříme, že úzká spolupráce s naším týmem a dalšími odborníky povede k úspěšnému dokončení a implementaci tohoto inovativního řešení". Z tohoto dopisu nijak nevyplývá, kdo jsou koneční uživatelé tohoto nástroje, kolik kusů nebo testovacích hodin si objednali nebo zaplatili. Jaká je škálovatelnost tohoto produktu? Kteří uživatelé o něj projevili zájem?</w:t>
      </w:r>
    </w:p>
    <w:p w14:paraId="6F748A2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Je tento výsledek dokončen tak, aby mohl být komercializován? Pravděpodobně ne, jelikož ZČU uvádí "Uznáváme, že finální komercializace v podobě dále přímo obchodovatelného produktu či služby nebyla plně dosažena ...". Proč byl tedy tento výsledek do soutěže zaslán?</w:t>
      </w:r>
    </w:p>
    <w:p w14:paraId="64E40E4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Věřím tomu, že předkládaný výsledek je pěkným technickým řešením, ale nikde jsem nenašel potvrzení toho, že jej bude někdo používat nebo prodávat. Nikde jsem nenalezl odpovědi na výše zmíněné otázky. Doporučuji neměnit hodnocení a ponechat známku 4.</w:t>
      </w:r>
    </w:p>
    <w:p w14:paraId="1C0457B1"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6DA4E6FB"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6DA60BA0" w14:textId="1E3E00EE" w:rsidR="00317816" w:rsidRPr="003C778F"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nesouhlasí s navrženým hodnocením a navrhuje hodnocení upravit na stupeň 3. Výsledek představuje funkční technologii ověřenou v reálných podmínkách (má i aplikačního garanta) s výrazným společenským přínosem v oblasti bezpečnosti kritické infrastruktury, z těchto důvodů naplňuje kritéria výsledku na velmi dobré úrovni.</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DD6E7B4" w14:textId="77777777" w:rsidTr="003D1A59">
        <w:tc>
          <w:tcPr>
            <w:tcW w:w="2405" w:type="dxa"/>
          </w:tcPr>
          <w:p w14:paraId="1618DCA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2D4EEB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Západočeská univerzita v Plzni-Fakulta aplikovaných věd</w:t>
            </w:r>
          </w:p>
        </w:tc>
      </w:tr>
      <w:tr w:rsidR="00317816" w:rsidRPr="00C24D02" w14:paraId="23AE5E9B" w14:textId="77777777" w:rsidTr="003D1A59">
        <w:tc>
          <w:tcPr>
            <w:tcW w:w="2405" w:type="dxa"/>
          </w:tcPr>
          <w:p w14:paraId="4883BC9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0E671F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192390042</w:t>
            </w:r>
          </w:p>
        </w:tc>
      </w:tr>
      <w:tr w:rsidR="00317816" w:rsidRPr="00C24D02" w14:paraId="4F0FE1F2" w14:textId="77777777" w:rsidTr="003D1A59">
        <w:trPr>
          <w:trHeight w:val="741"/>
        </w:trPr>
        <w:tc>
          <w:tcPr>
            <w:tcW w:w="2405" w:type="dxa"/>
          </w:tcPr>
          <w:p w14:paraId="7370264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3079E34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Geometry and tool motion planning for curvature adapted CNC machining</w:t>
            </w:r>
          </w:p>
        </w:tc>
      </w:tr>
      <w:tr w:rsidR="00317816" w:rsidRPr="00C24D02" w14:paraId="1F520B6D" w14:textId="77777777" w:rsidTr="003D1A59">
        <w:tc>
          <w:tcPr>
            <w:tcW w:w="2405" w:type="dxa"/>
          </w:tcPr>
          <w:p w14:paraId="2F5BD6A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145D6E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1.1.</w:t>
            </w:r>
          </w:p>
        </w:tc>
      </w:tr>
      <w:tr w:rsidR="00317816" w:rsidRPr="00C24D02" w14:paraId="28CDA99C" w14:textId="77777777" w:rsidTr="003D1A59">
        <w:tc>
          <w:tcPr>
            <w:tcW w:w="2405" w:type="dxa"/>
          </w:tcPr>
          <w:p w14:paraId="298D0E5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36D07B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785256CF" w14:textId="77777777" w:rsidTr="003D1A59">
        <w:tc>
          <w:tcPr>
            <w:tcW w:w="2405" w:type="dxa"/>
          </w:tcPr>
          <w:p w14:paraId="74F08D0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02"/>
            </w:r>
            <w:r w:rsidRPr="00C24D02">
              <w:rPr>
                <w:rFonts w:asciiTheme="minorHAnsi" w:eastAsia="Calibri" w:hAnsiTheme="minorHAnsi" w:cstheme="minorHAnsi"/>
              </w:rPr>
              <w:t>)</w:t>
            </w:r>
          </w:p>
        </w:tc>
        <w:tc>
          <w:tcPr>
            <w:tcW w:w="6378" w:type="dxa"/>
          </w:tcPr>
          <w:p w14:paraId="4B5E363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w:t>
            </w:r>
          </w:p>
        </w:tc>
      </w:tr>
      <w:tr w:rsidR="00317816" w:rsidRPr="00C24D02" w14:paraId="2BF55756" w14:textId="77777777" w:rsidTr="003D1A59">
        <w:tc>
          <w:tcPr>
            <w:tcW w:w="2405" w:type="dxa"/>
          </w:tcPr>
          <w:p w14:paraId="09D92EF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6BEADB8B" w14:textId="77777777" w:rsidR="00317816" w:rsidRPr="00C24D02" w:rsidRDefault="00317816" w:rsidP="003D1A59">
            <w:pPr>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w:t>
            </w:r>
          </w:p>
        </w:tc>
      </w:tr>
    </w:tbl>
    <w:p w14:paraId="7E24512F" w14:textId="77777777" w:rsidR="00317816" w:rsidRPr="00C24D02" w:rsidRDefault="00317816" w:rsidP="00317816">
      <w:pPr>
        <w:spacing w:after="144" w:line="360" w:lineRule="auto"/>
        <w:rPr>
          <w:rFonts w:asciiTheme="minorHAnsi" w:hAnsiTheme="minorHAnsi" w:cstheme="minorHAnsi"/>
        </w:rPr>
      </w:pPr>
    </w:p>
    <w:p w14:paraId="524B7B33"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Výběr FORDu</w:t>
      </w:r>
    </w:p>
    <w:p w14:paraId="34C2289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79B491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Tento závěr považujeme za věcně nesprávný a neodpovídající charakteru ani obsahu práce. Článek jednoznačně spadá do oblasti matematiky, na pomezí orientovaného základního a aplikovaného výzkumu, a představuje původní matematický výzkum s významnými teoretickými přínosy.</w:t>
      </w:r>
    </w:p>
    <w:p w14:paraId="3B5018A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Autoři se zabývají geometrickou analýzou kontaktu druhého řádu mezi rotační plochou a netriviální dvojnásobně zakřivenou plochou volného tvaru. Práce přináší nové výsledky v oblasti geometrického modelování a klasické diferenciální geometrie (obojí jsou matematické disciplíny), zejména zavedením plynulého přechodu mezi dvěma duálními klasickými koncepty teorie ploch – oskulačními kružnicemi křivek na ploše a oskulačními kužely tečně opsaných rozvinutelných ploch. Tento přechod nebyl v literatuře dosud popsán a představuje nový teoretický objev s prokazatelnou vědeckou hodnotou a potenciálem na další výzkum.</w:t>
      </w:r>
    </w:p>
    <w:p w14:paraId="0ACF8176"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Práce dále zobecňuje Eulerovu rovnici pro Meusnierovy sféry anuloidu, čímž propojuje klasické výsledky (Euler, Blaschke) a poskytuje nový matematický aparát pro analýzu lokálního kontaktu druhého řádu rotační plochy (toroidního nástroje) s plochou volného tvaru. Z tohoto teoretického základu vychází geometrická charakterizace výsečí přípustných směrů kontaktu druhého řádu a nově formulovaná podmínka směru osy nástroje vzhledem k hlavním křivostem plochy. Autoři rovněž z matematického pohledu ukazují, že při obrábění rozvinutelných ploch lze dosáhnout kontaktu třetího řádu, což je matematicky originální výsledek s významnými důsledky pro přesnost aproximace.</w:t>
      </w:r>
    </w:p>
    <w:p w14:paraId="55A652D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 těchto teoretických výsledcích je vystavěn sjednocený optimalizační rámec, který spojuje volbu nástroje, lokální polohování a plánování pohybu do jednoho matematického </w:t>
      </w:r>
      <w:r w:rsidRPr="00C24D02">
        <w:rPr>
          <w:rFonts w:asciiTheme="minorHAnsi" w:hAnsiTheme="minorHAnsi" w:cstheme="minorHAnsi"/>
        </w:rPr>
        <w:lastRenderedPageBreak/>
        <w:t>modelu založeného na diferenciálně-geometrické analýze. Ačkoliv článek obsahuje i demonstrační simulační a experimentální ověření, tyto části mají čistě validační charakter; jádrem práce je originální matematická teorie s vlastním přínosem k poznání.</w:t>
      </w:r>
    </w:p>
    <w:p w14:paraId="68C4430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Publikace v časopise ACM Transactions on Graphics, který patří svým obsahem kromě hlavních témat k nejvýznamnějším světovým časopisům i v oblasti geometrického modelování, výpočetní geometrie a aplikované matematiky potvrzuje excelentní vědeckou úroveň a mezinárodní uznání výsledku. Spolupráce s prestižními institucemi, jako jsou Basque Center for Applied Mathematics (BCAM) a King Abdullah University of Science and Technology (KAUST), dále dokládá jeho mimořádný mezinárodní vědecký význam.</w:t>
      </w:r>
    </w:p>
    <w:p w14:paraId="4C4BCC8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Je dále třeba rovněž zdůraznit, že i když je článek publikován v časopise, který není ve Web of Science zařazen výhradně do matematické kategorie, jeho obsah, metodologie i výsledky jednoznačně odpovídají charakteru matematického výzkumu. Vycházíme přitom z obecně přijímaného stanoviska a doporučení dávaných pro nominace výsledků do modulu M1, že zařazení časopisu do mezioborové oblasti nesnižuje vědeckou hodnotu matematické práce – naopak odráží její interdisciplinární dopad a aplikovatelnost. V daném případě jde o matematicky fundovanou studii, jejíž teoretické přínosy mají přímý přesah do oblastí geometrického modelování a výpočetních metod, přičemž podstata práce zůstává zcela matematická.</w:t>
      </w:r>
    </w:p>
    <w:p w14:paraId="12F2AD0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 základě výše uvedeného žádá Západočeská univerzita v Plzni o přehodnocení závěru panelisty a nové posouzení výsledku odborníky s odpovídající specializací. S ohledem na mimořádnou originalitu, teoretickou hloubku a prokazatelný mezinárodní dosah výsledku požadujeme revizi hodnocení a jeho úpravu tak, aby odpovídala skutečné vědecké úrovni daného výsledku, kterou stávající navržené hodnocení dehonestuje. </w:t>
      </w:r>
    </w:p>
    <w:p w14:paraId="02E5297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Odborný panel setrvává na svém původním rozhodnutí týkajícím se hodnocení předloženého výsledku. Přestože je hodnocený výsledek shledán jako odborně zajímavý, nepřináší nové matematické poznatky, a proto je jeho oborové zařazení jako matematického výsledku (FORD: 1.1 Mathematics) shledáno jako nesprávné. S přihlédnutím k této skutečnosti nebyl výsledek postoupen k dalšímu hodnocení v jiném, nematematickém oboru. Námitka „aby si Panelista Garant vyžádal hodnocení i v rámci jiné oblasti hodnocení“ se proto zamítá. Volba oboru (FORD) náleží výhradně předkládající výzkumné organizaci. </w:t>
      </w:r>
      <w:r w:rsidRPr="00C24D02">
        <w:rPr>
          <w:rFonts w:asciiTheme="minorHAnsi" w:hAnsiTheme="minorHAnsi" w:cstheme="minorHAnsi"/>
        </w:rPr>
        <w:lastRenderedPageBreak/>
        <w:t>Garant panelista ani samotný odborný panel nejsou k tomuto úkonu kompetentní a jeho provedení není součástí jejich povinností. Jakýkoli zásah do volby oboru by mohl být vyhodnocen jako neoprávněný a vystavit hodnotitele riziku námitky nesprávné klasifikace. Námitka formulovaná jako "formálního protestu vůči obecnému postupu Panelisty Garanta, který ač mohl, tak nevyužíval všech možností rozhodování při hodnocení“ neprokazuje pochybení v průběhu hodnotícího procesu ani nezpochybňuje jeho věcný závěr. Proces hodnocení všech záznamů probíhal zcela korektně a v souladu s platnými pravidly. O všech hodnoceních zařazených na kvalitativní stupnici N nebo 5 (nehodnoceno) rozhodoval kolektivně odborný panel. Z tohoto důvodu se námitka „Své rozhodnutí odůvodňoval subjektivním dojmem“ zamítá. Z uvedených důvodů nemá předložená námitka vliv na původní hodnocení, které zůstává beze změny.</w:t>
      </w:r>
    </w:p>
    <w:p w14:paraId="2C752D26"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2651E001"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eastAsia="Calibri" w:hAnsiTheme="minorHAnsi" w:cstheme="minorHAnsi"/>
          <w:bCs/>
        </w:rPr>
        <w:t xml:space="preserve"> Panelista se nevyjadřuje ke skutečnostem uvedeným v námitce (zdůvodnění matematického přínosu), pouze trvá na svém původním stanovisku. Z procesního hlediska je vypořádání námitky nedostatečné.</w:t>
      </w:r>
    </w:p>
    <w:p w14:paraId="006EB681" w14:textId="4BB67324"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w:t>
      </w:r>
      <w:r w:rsidRPr="00C24D02">
        <w:rPr>
          <w:rFonts w:asciiTheme="minorHAnsi" w:hAnsiTheme="minorHAnsi" w:cstheme="minorHAnsi"/>
        </w:rPr>
        <w:t xml:space="preserve"> KHV doporučuje vrátit výsledek do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3259EB58" w14:textId="77777777" w:rsidTr="003D1A59">
        <w:tc>
          <w:tcPr>
            <w:tcW w:w="2405" w:type="dxa"/>
          </w:tcPr>
          <w:p w14:paraId="325C2AB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4DE61C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Západočeská univerzita v Plzni-Fakulta aplikovaných věd</w:t>
            </w:r>
          </w:p>
        </w:tc>
      </w:tr>
      <w:tr w:rsidR="00317816" w:rsidRPr="00C24D02" w14:paraId="70629748" w14:textId="77777777" w:rsidTr="003D1A59">
        <w:tc>
          <w:tcPr>
            <w:tcW w:w="2405" w:type="dxa"/>
          </w:tcPr>
          <w:p w14:paraId="3EA65B3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F05E65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192562665</w:t>
            </w:r>
          </w:p>
        </w:tc>
      </w:tr>
      <w:tr w:rsidR="00317816" w:rsidRPr="00C24D02" w14:paraId="4B3D9918" w14:textId="77777777" w:rsidTr="003D1A59">
        <w:trPr>
          <w:trHeight w:val="741"/>
        </w:trPr>
        <w:tc>
          <w:tcPr>
            <w:tcW w:w="2405" w:type="dxa"/>
          </w:tcPr>
          <w:p w14:paraId="115292C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7D5AC3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Pokročilé paralelní metody pro optimalizaci palivových vsázek ETE systému Athena</w:t>
            </w:r>
          </w:p>
        </w:tc>
      </w:tr>
      <w:tr w:rsidR="00317816" w:rsidRPr="00C24D02" w14:paraId="3C66A1C0" w14:textId="77777777" w:rsidTr="003D1A59">
        <w:tc>
          <w:tcPr>
            <w:tcW w:w="2405" w:type="dxa"/>
          </w:tcPr>
          <w:p w14:paraId="15270E0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650FF8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1.1.</w:t>
            </w:r>
          </w:p>
        </w:tc>
      </w:tr>
      <w:tr w:rsidR="00317816" w:rsidRPr="00C24D02" w14:paraId="60977258" w14:textId="77777777" w:rsidTr="003D1A59">
        <w:tc>
          <w:tcPr>
            <w:tcW w:w="2405" w:type="dxa"/>
          </w:tcPr>
          <w:p w14:paraId="48580AD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4A45D2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4AE35FF9" w14:textId="77777777" w:rsidTr="003D1A59">
        <w:tc>
          <w:tcPr>
            <w:tcW w:w="2405" w:type="dxa"/>
          </w:tcPr>
          <w:p w14:paraId="2D0A827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03"/>
            </w:r>
            <w:r w:rsidRPr="00C24D02">
              <w:rPr>
                <w:rFonts w:asciiTheme="minorHAnsi" w:eastAsia="Calibri" w:hAnsiTheme="minorHAnsi" w:cstheme="minorHAnsi"/>
              </w:rPr>
              <w:t>)</w:t>
            </w:r>
          </w:p>
        </w:tc>
        <w:tc>
          <w:tcPr>
            <w:tcW w:w="6378" w:type="dxa"/>
          </w:tcPr>
          <w:p w14:paraId="073D048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w:t>
            </w:r>
          </w:p>
        </w:tc>
      </w:tr>
      <w:tr w:rsidR="00317816" w:rsidRPr="00C24D02" w14:paraId="7112694D" w14:textId="77777777" w:rsidTr="003D1A59">
        <w:tc>
          <w:tcPr>
            <w:tcW w:w="2405" w:type="dxa"/>
          </w:tcPr>
          <w:p w14:paraId="0FE59E6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Návrh rozhodnutí Rady</w:t>
            </w:r>
          </w:p>
        </w:tc>
        <w:tc>
          <w:tcPr>
            <w:tcW w:w="6378" w:type="dxa"/>
          </w:tcPr>
          <w:p w14:paraId="76FA0804"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5.</w:t>
            </w:r>
          </w:p>
        </w:tc>
      </w:tr>
    </w:tbl>
    <w:p w14:paraId="6A5EA5E2" w14:textId="77777777" w:rsidR="00317816" w:rsidRPr="00C24D02" w:rsidRDefault="00317816" w:rsidP="00317816">
      <w:pPr>
        <w:spacing w:after="144" w:line="360" w:lineRule="auto"/>
        <w:rPr>
          <w:rFonts w:asciiTheme="minorHAnsi" w:hAnsiTheme="minorHAnsi" w:cstheme="minorHAnsi"/>
        </w:rPr>
      </w:pPr>
    </w:p>
    <w:p w14:paraId="4C0EB32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Výběr FORDu</w:t>
      </w:r>
    </w:p>
    <w:p w14:paraId="6AFAE5A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648603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Vznášíme námitku vůči závěru panelisty, že předložený výsledek Pokročilé paralelní metody pro optimalizaci palivových vsázek ETE systému Athena nespadá do kategorie Matematika, resp. podkategorie Aplikovaná matematika.</w:t>
      </w:r>
    </w:p>
    <w:p w14:paraId="11A06BF6"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Tento závěr považujeme za věcně nesprávný a neodpovídající charakteru výsledku. Výsledek jednoznačně spadá do oblasti aplikované matematiky a je na jedné straně podpořen základním výzkumem v příslušných oblastech matematiky a zároveň je spojen s efektivní softwarovou implementací.</w:t>
      </w:r>
    </w:p>
    <w:p w14:paraId="525A7C8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Z matematického pohledu výsledek pokrývá oblast silně nelineární konvexní a nekonvexní kombinatorické optimalizace s omezeními danými soustavami parciálních diferenciálních rovnic, tj. inovativně propojuje dvě tradičně oddělované matematické disciplíny. </w:t>
      </w:r>
    </w:p>
    <w:p w14:paraId="74674D4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Nicméně i přes tuto skutečnost není předložený výsledek navržen k posouzení z pohledu přínosu k vědeckému poznání, ale z pohledu společenské relevance. </w:t>
      </w:r>
    </w:p>
    <w:p w14:paraId="3A0CBCF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Vývoj výsledku byl vyžádán přímo z praxe – společností Škoda JS a.s. – v souvislosti s velmi aktuálním a v dřívější době neplánovaným přechodem českých jaderných elektráren na jaderné palivo nového dodavatele, kterého bylo nutné v relativně krátké době vybrat. Jedním z nedílných a zásadních podkladů pro výběr je vypracování studií provozovatelnosti jaderných reaktorů s příslušným typem jaderného paliva. Tyto studie prováděné právě společností Škoda JS a.s. pro jadernou elektrárnu Temelín (ETE) jsou zásadní pro udělení licence na provoz jaderných reaktorů Státním úřadem pro jadernou bezpečnost. Předkládaný výsledek byl ihned po svém vzniku implementován společností Škoda JS a.s. jako klíčová součást příslušné studie a přispěl k udělení licence na provozování 18měsíčních cyklů reaktorů ETE. </w:t>
      </w:r>
    </w:p>
    <w:p w14:paraId="15BB1D3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Jaderná energetika je strategickým oborem České republiky. Zajištění spolehlivého a ekonomického provozu jaderných reaktorů je naprosto neoddiskutovatelné pro energetickou soběstačnost naší země. Předložený výsledek dokládá přímé uplatnění teoretických </w:t>
      </w:r>
      <w:r w:rsidRPr="00C24D02">
        <w:rPr>
          <w:rFonts w:asciiTheme="minorHAnsi" w:hAnsiTheme="minorHAnsi" w:cstheme="minorHAnsi"/>
        </w:rPr>
        <w:lastRenderedPageBreak/>
        <w:t>matematických výsledků v této oblasti a mimo jiné potvrzuje fakt, že široký rozsah vzdělání přináší i nezanedbatelný ekonomický efekt.</w:t>
      </w:r>
    </w:p>
    <w:p w14:paraId="465D732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Na základě výše uvedeného žádá Západočeská univerzita v Plzni o přehodnocení závěru panelisty a nové posouzení výsledku odborníky s odpovídající specializací.</w:t>
      </w:r>
    </w:p>
    <w:p w14:paraId="0A171EF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Odborný panel setrvává na svém původním rozhodnutí týkajícím se hodnocení předloženého výsledku. Závěr hodnocení „Z předložených dokumentů nelze posoudit jeho kvalitu (rozsah použitých či nově vyvinutých matematických metod) ani správné zařazení do vědní oblasti 1.1 Mathematics.“ poukazuje na dvě skutečnosti, na jejichž základě bylo stanoveno finální hodnocení. Revizí předloženého výsledku odborný panel konstatuje, že na základě doložených podkladů (Cada_2023.pdf a Cada_potvrzeni_2023.pdf ) nelze rozhodnout, zda se jedná o výsledek náležející do oblasti aplikované matematiky, a tedy ani prohlásit, že výsledek spadá do oboru FORD: 1.1 Mathematics. Z uvedených důvodů se námitka zamítá a původní hodnocení zůstává beze změny.</w:t>
      </w:r>
    </w:p>
    <w:p w14:paraId="340AEED9"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2279D8DF"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p>
    <w:p w14:paraId="378194EA" w14:textId="77777777" w:rsidR="00317816" w:rsidRPr="00C24D02" w:rsidRDefault="00317816" w:rsidP="00317816">
      <w:pPr>
        <w:spacing w:before="240" w:after="144" w:line="360" w:lineRule="auto"/>
        <w:jc w:val="both"/>
        <w:rPr>
          <w:rFonts w:asciiTheme="minorHAnsi" w:hAnsiTheme="minorHAnsi" w:cstheme="minorHAnsi"/>
          <w:b/>
        </w:rPr>
      </w:pPr>
      <w:r w:rsidRPr="00C24D02">
        <w:rPr>
          <w:rFonts w:asciiTheme="minorHAnsi" w:hAnsiTheme="minorHAnsi" w:cstheme="minorHAnsi"/>
        </w:rPr>
        <w:t xml:space="preserve"> </w:t>
      </w:r>
      <w:r w:rsidRPr="00C24D02">
        <w:rPr>
          <w:rFonts w:asciiTheme="minorHAnsi" w:hAnsiTheme="minorHAnsi" w:cstheme="minorHAnsi"/>
          <w:b/>
        </w:rPr>
        <w:t>7.2.1 Rozdělení vybraných výsledků Odborným panelům</w:t>
      </w:r>
      <w:r w:rsidRPr="00C24D02">
        <w:rPr>
          <w:rFonts w:asciiTheme="minorHAnsi" w:hAnsiTheme="minorHAnsi" w:cstheme="minorHAnsi"/>
        </w:rPr>
        <w:t>, písmene b) Postupu</w:t>
      </w:r>
      <w:r w:rsidRPr="00C24D02">
        <w:rPr>
          <w:rStyle w:val="Znakapoznpodarou"/>
          <w:rFonts w:asciiTheme="minorHAnsi" w:eastAsiaTheme="majorEastAsia" w:hAnsiTheme="minorHAnsi" w:cstheme="minorHAnsi"/>
        </w:rPr>
        <w:footnoteReference w:id="104"/>
      </w:r>
      <w:r w:rsidRPr="00C24D02">
        <w:rPr>
          <w:rFonts w:asciiTheme="minorHAnsi" w:hAnsiTheme="minorHAnsi" w:cstheme="minorHAnsi"/>
        </w:rPr>
        <w:t>, ve kterém je uvedeno: „</w:t>
      </w:r>
      <w:r w:rsidRPr="00C24D02">
        <w:rPr>
          <w:rFonts w:asciiTheme="minorHAnsi" w:hAnsiTheme="minorHAnsi" w:cstheme="minorHAnsi"/>
          <w:i/>
          <w:iCs/>
        </w:rPr>
        <w:t>V případě, že bude výsledek z důvodu chybného přiřazení oboru výzkumnou organizací zařazen do Odborného panelu, který svým zaměřením neodpovídá skutečnému oboru výsledku a Odborný panel jej odmítne hodnotit z důvodu odborné nepříslušnosti, může být tomuto výsledku udělena nejhorší známka z důvodu odborné nepříslušnosti. Důvodem je to, že záznamy výzkumných organizací nesmí být administrativním zásahem měněny. Jediná osoba, oprávněná ke změně vložených údajů, je výzkumná organizace, která tak může učinit kdykoliv během lhůty pro zasílání vybraných výsledků.“</w:t>
      </w:r>
    </w:p>
    <w:p w14:paraId="432A4E51" w14:textId="316C0D43"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ponecháním původního hodnocení, které bylo uděleno podle pravidel Metodiky 2017+. Panelista výsledek nehodnotil primárně na základě špatného </w:t>
      </w:r>
      <w:r w:rsidRPr="00C24D02">
        <w:rPr>
          <w:rFonts w:asciiTheme="minorHAnsi" w:hAnsiTheme="minorHAnsi" w:cstheme="minorHAnsi"/>
        </w:rPr>
        <w:lastRenderedPageBreak/>
        <w:t>zařazení, ale jasně uvádí, že předložené dokumenty neumožňují posoudit kvalitu výsledku. Tento výsledek je typu V (zpráva obsahující utajované skutečnosti) a VO jsou opakovaně upozorňovány, že tento typ výsledku není z důvodu utajení vhodný do M1, ale měl by se uplatňovat v M3.</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022261E9" w14:textId="77777777" w:rsidTr="003D1A59">
        <w:tc>
          <w:tcPr>
            <w:tcW w:w="2405" w:type="dxa"/>
          </w:tcPr>
          <w:p w14:paraId="490B3FC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F9AD67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Vysoké učení technické v Brně - Fakulta elektrotechniky a komunikačních technologií</w:t>
            </w:r>
          </w:p>
        </w:tc>
      </w:tr>
      <w:tr w:rsidR="00317816" w:rsidRPr="00C24D02" w14:paraId="187AD5D2" w14:textId="77777777" w:rsidTr="003D1A59">
        <w:tc>
          <w:tcPr>
            <w:tcW w:w="2405" w:type="dxa"/>
          </w:tcPr>
          <w:p w14:paraId="7C12D07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8D4D84C" w14:textId="77777777" w:rsidR="00317816" w:rsidRPr="00C24D02" w:rsidRDefault="00317816" w:rsidP="003D1A59">
            <w:pPr>
              <w:spacing w:after="144" w:line="360" w:lineRule="auto"/>
              <w:jc w:val="both"/>
              <w:rPr>
                <w:rFonts w:asciiTheme="minorHAnsi" w:eastAsia="Calibri" w:hAnsiTheme="minorHAnsi" w:cstheme="minorHAnsi"/>
              </w:rPr>
            </w:pPr>
            <w:bookmarkStart w:id="31" w:name="_Hlk220778338"/>
            <w:r w:rsidRPr="00C24D02">
              <w:rPr>
                <w:rFonts w:asciiTheme="minorHAnsi" w:eastAsia="Calibri" w:hAnsiTheme="minorHAnsi" w:cstheme="minorHAnsi"/>
              </w:rPr>
              <w:t>192384341</w:t>
            </w:r>
            <w:bookmarkEnd w:id="31"/>
          </w:p>
        </w:tc>
      </w:tr>
      <w:tr w:rsidR="00317816" w:rsidRPr="00C24D02" w14:paraId="1F2B6056" w14:textId="77777777" w:rsidTr="003D1A59">
        <w:trPr>
          <w:trHeight w:val="741"/>
        </w:trPr>
        <w:tc>
          <w:tcPr>
            <w:tcW w:w="2405" w:type="dxa"/>
          </w:tcPr>
          <w:p w14:paraId="3B6996A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CC57BC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Uniform exponential stability of linear delayed integro-differential vector equations</w:t>
            </w:r>
          </w:p>
        </w:tc>
      </w:tr>
      <w:tr w:rsidR="00317816" w:rsidRPr="00C24D02" w14:paraId="2765B61C" w14:textId="77777777" w:rsidTr="003D1A59">
        <w:tc>
          <w:tcPr>
            <w:tcW w:w="2405" w:type="dxa"/>
          </w:tcPr>
          <w:p w14:paraId="5E1B763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E92236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1.1.</w:t>
            </w:r>
          </w:p>
        </w:tc>
      </w:tr>
      <w:tr w:rsidR="00317816" w:rsidRPr="00C24D02" w14:paraId="163C2902" w14:textId="77777777" w:rsidTr="003D1A59">
        <w:tc>
          <w:tcPr>
            <w:tcW w:w="2405" w:type="dxa"/>
          </w:tcPr>
          <w:p w14:paraId="04081BC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61E5F5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2CE9658F" w14:textId="77777777" w:rsidTr="003D1A59">
        <w:tc>
          <w:tcPr>
            <w:tcW w:w="2405" w:type="dxa"/>
          </w:tcPr>
          <w:p w14:paraId="1CFDDF2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05"/>
            </w:r>
            <w:r w:rsidRPr="00C24D02">
              <w:rPr>
                <w:rFonts w:asciiTheme="minorHAnsi" w:eastAsia="Calibri" w:hAnsiTheme="minorHAnsi" w:cstheme="minorHAnsi"/>
              </w:rPr>
              <w:t>)</w:t>
            </w:r>
          </w:p>
        </w:tc>
        <w:tc>
          <w:tcPr>
            <w:tcW w:w="6378" w:type="dxa"/>
          </w:tcPr>
          <w:p w14:paraId="5265F80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1/3/-/3</w:t>
            </w:r>
          </w:p>
        </w:tc>
      </w:tr>
      <w:tr w:rsidR="00317816" w:rsidRPr="00C24D02" w14:paraId="3DB82AB9" w14:textId="77777777" w:rsidTr="003D1A59">
        <w:tc>
          <w:tcPr>
            <w:tcW w:w="2405" w:type="dxa"/>
          </w:tcPr>
          <w:p w14:paraId="10E9F53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A703542"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5D4BDDE3" w14:textId="77777777" w:rsidR="00317816" w:rsidRPr="00C24D02" w:rsidRDefault="00317816" w:rsidP="00317816">
      <w:pPr>
        <w:spacing w:after="144" w:line="360" w:lineRule="auto"/>
        <w:rPr>
          <w:rFonts w:asciiTheme="minorHAnsi" w:hAnsiTheme="minorHAnsi" w:cstheme="minorHAnsi"/>
        </w:rPr>
      </w:pPr>
    </w:p>
    <w:p w14:paraId="428C2FC5"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Proti procesu hodnocení</w:t>
      </w:r>
    </w:p>
    <w:p w14:paraId="17117E6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52ABCC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 hodnocení obou hodnotitelů existují zásadní rozpory, které nejsou panelistou reflektovány. Hodnocení výsledku hodnotitelem 2 neodpovídá aktuálnímu stavu poznání v dané oblasti (jak stavu v době uplatnění výsledku, tak nynějšímu stavu), obsahuje zavádějící a nepravdivá tvrzení. Odůvodnění celkového hodnocení panelistou neodpovídá platné metodice. Žádáme proto o revizi hodnocení výsledku. </w:t>
      </w:r>
    </w:p>
    <w:p w14:paraId="2398570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Odůvodnění: </w:t>
      </w:r>
    </w:p>
    <w:p w14:paraId="264FD81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 hodnocení obou hodnotitelů existují zásadní rozpory, které nejsou panelistou žádným způsobem reflektovány. Hodnocení hodnotitel 2 navíc nereflektuje state-of-the art v dané </w:t>
      </w:r>
      <w:r w:rsidRPr="00C24D02">
        <w:rPr>
          <w:rFonts w:asciiTheme="minorHAnsi" w:hAnsiTheme="minorHAnsi" w:cstheme="minorHAnsi"/>
        </w:rPr>
        <w:lastRenderedPageBreak/>
        <w:t xml:space="preserve">vědní oblasti a obsahuje nepravdivá tvrzení, která – vzhledem ke skutečnosti, že nejsou nijak vypořádána panelistou – významně ovlivnily výsledek hodnocení. Celkové hodnocení tak neodpovídá obecným principům hodnocení a není v souladu s platnými postupy hodnocení dle Metodiky 17+. </w:t>
      </w:r>
    </w:p>
    <w:p w14:paraId="602128A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Konkrétní příklady: </w:t>
      </w:r>
    </w:p>
    <w:p w14:paraId="7321105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Část slovního hodnocení (hodnotitel 2) "</w:t>
      </w:r>
      <w:r w:rsidRPr="00C24D02">
        <w:rPr>
          <w:rFonts w:asciiTheme="minorHAnsi" w:hAnsiTheme="minorHAnsi" w:cstheme="minorHAnsi"/>
          <w:i/>
          <w:iCs/>
        </w:rPr>
        <w:t>Jde o poměrně obecný výsledek ..</w:t>
      </w:r>
      <w:r w:rsidRPr="00C24D02">
        <w:rPr>
          <w:rFonts w:asciiTheme="minorHAnsi" w:hAnsiTheme="minorHAnsi" w:cstheme="minorHAnsi"/>
        </w:rPr>
        <w:t>.", kterým hodnocení začíná, je v rozporu s hodnocením hodnotitele č.1, který naopak konstatuje, že "</w:t>
      </w:r>
      <w:r w:rsidRPr="00C24D02">
        <w:rPr>
          <w:rFonts w:asciiTheme="minorHAnsi" w:hAnsiTheme="minorHAnsi" w:cstheme="minorHAnsi"/>
          <w:i/>
          <w:iCs/>
        </w:rPr>
        <w:t>This paper studies uniform exponential stability of a broad class of systems</w:t>
      </w:r>
      <w:r w:rsidRPr="00C24D02">
        <w:rPr>
          <w:rFonts w:asciiTheme="minorHAnsi" w:hAnsiTheme="minorHAnsi" w:cstheme="minorHAnsi"/>
        </w:rPr>
        <w:t xml:space="preserve">..." </w:t>
      </w:r>
    </w:p>
    <w:p w14:paraId="567BCD1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Část slovního hodnocení hodnotitele č.2 " …</w:t>
      </w:r>
      <w:r w:rsidRPr="00C24D02">
        <w:rPr>
          <w:rFonts w:asciiTheme="minorHAnsi" w:hAnsiTheme="minorHAnsi" w:cstheme="minorHAnsi"/>
          <w:i/>
          <w:iCs/>
        </w:rPr>
        <w:t>I když jde o relativně silný výsledek, vylepšující doposud známé výsledky…</w:t>
      </w:r>
      <w:r w:rsidRPr="00C24D02">
        <w:rPr>
          <w:rFonts w:asciiTheme="minorHAnsi" w:hAnsiTheme="minorHAnsi" w:cstheme="minorHAnsi"/>
        </w:rPr>
        <w:t>," je v zásadním nesouladu s hodnotitelem č. 1, který konstatuje, že "</w:t>
      </w:r>
      <w:r w:rsidRPr="00C24D02">
        <w:rPr>
          <w:rFonts w:asciiTheme="minorHAnsi" w:hAnsiTheme="minorHAnsi" w:cstheme="minorHAnsi"/>
          <w:i/>
          <w:iCs/>
        </w:rPr>
        <w:t>Present excelent result generalizes and substantially improves the previous ones obtained for problems with particular forms of delay and more specific coefficients. Moreover, the main theorem states explicit sufficient conditions one should verify for ensuring uniform exponential stability</w:t>
      </w:r>
      <w:r w:rsidRPr="00C24D02">
        <w:rPr>
          <w:rFonts w:asciiTheme="minorHAnsi" w:hAnsiTheme="minorHAnsi" w:cstheme="minorHAnsi"/>
        </w:rPr>
        <w:t xml:space="preserve">." </w:t>
      </w:r>
    </w:p>
    <w:p w14:paraId="6678BBB5" w14:textId="77777777" w:rsidR="00317816" w:rsidRPr="00C24D02" w:rsidRDefault="00317816" w:rsidP="00317816">
      <w:pPr>
        <w:numPr>
          <w:ilvl w:val="1"/>
          <w:numId w:val="24"/>
        </w:numPr>
        <w:spacing w:after="144" w:line="360" w:lineRule="auto"/>
        <w:jc w:val="both"/>
        <w:rPr>
          <w:rFonts w:asciiTheme="minorHAnsi" w:hAnsiTheme="minorHAnsi" w:cstheme="minorHAnsi"/>
        </w:rPr>
      </w:pPr>
      <w:r w:rsidRPr="00C24D02">
        <w:rPr>
          <w:rFonts w:asciiTheme="minorHAnsi" w:hAnsiTheme="minorHAnsi" w:cstheme="minorHAnsi"/>
        </w:rPr>
        <w:t> Část slovního hodnocení "</w:t>
      </w:r>
      <w:r w:rsidRPr="00C24D02">
        <w:rPr>
          <w:rFonts w:asciiTheme="minorHAnsi" w:hAnsiTheme="minorHAnsi" w:cstheme="minorHAnsi"/>
          <w:i/>
          <w:iCs/>
        </w:rPr>
        <w:t xml:space="preserve">[…] byl publikován ve špičkovém časopise věnujícím se diferenciálním rovnicím, v </w:t>
      </w:r>
      <w:r w:rsidRPr="00C24D02">
        <w:rPr>
          <w:rFonts w:asciiTheme="minorHAnsi" w:hAnsiTheme="minorHAnsi" w:cstheme="minorHAnsi"/>
          <w:b/>
          <w:bCs/>
          <w:i/>
          <w:iCs/>
        </w:rPr>
        <w:t>celkovém kontextu diferenciálních rovnic jde o silně okrajové téma</w:t>
      </w:r>
      <w:r w:rsidRPr="00C24D02">
        <w:rPr>
          <w:rFonts w:asciiTheme="minorHAnsi" w:hAnsiTheme="minorHAnsi" w:cstheme="minorHAnsi"/>
          <w:i/>
          <w:iCs/>
        </w:rPr>
        <w:t>, kterému se celosvětově věnuje jen několik málo skupin a tomu odpovídá i počet citací článku. Jde tedy o mezinárodně uznávaný výsledek zajímavý pro velmi úzkou skupinu odborníků a v kontextu diferenciálních rovnic nejde o výsledek vynikající mezinárodní úrovně</w:t>
      </w:r>
      <w:r w:rsidRPr="00C24D02">
        <w:rPr>
          <w:rFonts w:asciiTheme="minorHAnsi" w:hAnsiTheme="minorHAnsi" w:cstheme="minorHAnsi"/>
        </w:rPr>
        <w:t>.", je v zásadním rozporu s hodnotitelem č.1, který uvádí: „</w:t>
      </w:r>
      <w:r w:rsidRPr="00C24D02">
        <w:rPr>
          <w:rFonts w:asciiTheme="minorHAnsi" w:hAnsiTheme="minorHAnsi" w:cstheme="minorHAnsi"/>
          <w:i/>
          <w:iCs/>
        </w:rPr>
        <w:t>The paper was published in JDE journal which ensures a broad impact on the scientific community, including people involved in modelling natural and technical processes using differential equations</w:t>
      </w:r>
      <w:r w:rsidRPr="00C24D02">
        <w:rPr>
          <w:rFonts w:asciiTheme="minorHAnsi" w:hAnsiTheme="minorHAnsi" w:cstheme="minorHAnsi"/>
        </w:rPr>
        <w:t>“. o Jak je níže doloženo v příloze 1, která uvádí údaje z databáze WOS o počtu článků z dané problematiky v roce 2021, tj. v roce publikování práce, dále počet článků za roky 2021–2025 a rostoucí trend publikací v zaměření na zpožděné diferenciální systémy</w:t>
      </w:r>
      <w:r w:rsidRPr="00C24D02">
        <w:rPr>
          <w:rFonts w:asciiTheme="minorHAnsi" w:hAnsiTheme="minorHAnsi" w:cstheme="minorHAnsi"/>
          <w:b/>
          <w:bCs/>
        </w:rPr>
        <w:t xml:space="preserve">, tvrzení hodnotitele 2 </w:t>
      </w:r>
      <w:r w:rsidRPr="00C24D02">
        <w:rPr>
          <w:rFonts w:asciiTheme="minorHAnsi" w:hAnsiTheme="minorHAnsi" w:cstheme="minorHAnsi"/>
        </w:rPr>
        <w:t xml:space="preserve">o silně okrajovém tématu, ze kterého rovněž odvíjí své hodnocení (které ale přesto nic neříká o kvalitě práce) </w:t>
      </w:r>
      <w:r w:rsidRPr="00C24D02">
        <w:rPr>
          <w:rFonts w:asciiTheme="minorHAnsi" w:hAnsiTheme="minorHAnsi" w:cstheme="minorHAnsi"/>
          <w:b/>
          <w:bCs/>
        </w:rPr>
        <w:t xml:space="preserve">je nepravdivé. </w:t>
      </w:r>
    </w:p>
    <w:p w14:paraId="40C5F75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Výše uvedené skutečnosti dokládají, že hodnocení výsledku hodnotitelem 2 neodpovídá aktuálnímu stavu poznání v dané oblasti (jak stavu v době uplatnění výsledku, tak nynějšímu stavu), obsahuje zavádějící a nepravdivá tvrzení.</w:t>
      </w:r>
    </w:p>
    <w:p w14:paraId="05AF276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lastRenderedPageBreak/>
        <w:t xml:space="preserve">Výše uvedené rozpory nejsou panelistou žádným způsobem reflektovány, celkové hodnocení výsledku panelistou není adekvátně zdůvodněno. </w:t>
      </w:r>
    </w:p>
    <w:p w14:paraId="2B87E0A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Tento postup i celé hodnocení proto neodpovídá platné metodice hodnocení. Žádáme proto o revizi hodnocení výsledku.</w:t>
      </w:r>
    </w:p>
    <w:p w14:paraId="16C33E8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Odborný panel setrvává na svém původním rozhodnutí ohledně hodnocení výsledku. (1) Oba hodnotitelé se ve svých posudcích vzájemně doplňují a jejich tvrzení jsou ve vzájemném souladu. První hodnotitel konstatuje, že se jedná o výsledek obecného charakteru, zatímco druhý hodnotitel specifikuje příslušnou matematickou oblast. Jejich vyjádření si tedy neodporují, nýbrž se vzájemně podporují. (2) Uvedené pasáže z obou posudků jsou vzájemně konzistentní a nejsou v rozporu. (3) Skutečnost, že první hodnotitel udělil známku 1, sama o sobě neznamená, že hodnotitel konstatoval „world-leading“ úroveň výsledku; takové tvrzení v posudku uvedeno není.</w:t>
      </w:r>
    </w:p>
    <w:p w14:paraId="5B42167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3.</w:t>
      </w:r>
    </w:p>
    <w:p w14:paraId="1165664C"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7A121D8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w:t>
      </w:r>
    </w:p>
    <w:p w14:paraId="24033BBA" w14:textId="77777777" w:rsidR="00317816" w:rsidRPr="00C24D02" w:rsidRDefault="00317816" w:rsidP="00317816">
      <w:pPr>
        <w:spacing w:before="240" w:after="144" w:line="360" w:lineRule="auto"/>
        <w:jc w:val="both"/>
        <w:rPr>
          <w:rFonts w:asciiTheme="minorHAnsi" w:hAnsiTheme="minorHAnsi" w:cstheme="minorHAnsi"/>
        </w:rPr>
      </w:pP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4A1E148" w14:textId="77777777" w:rsidTr="003D1A59">
        <w:tc>
          <w:tcPr>
            <w:tcW w:w="2405" w:type="dxa"/>
          </w:tcPr>
          <w:p w14:paraId="2B17224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318A606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Vysoké učení technické v Brně - Fakulta elektrotechniky a komunikačních technologií</w:t>
            </w:r>
          </w:p>
        </w:tc>
      </w:tr>
      <w:tr w:rsidR="00317816" w:rsidRPr="00C24D02" w14:paraId="33160BF6" w14:textId="77777777" w:rsidTr="003D1A59">
        <w:tc>
          <w:tcPr>
            <w:tcW w:w="2405" w:type="dxa"/>
          </w:tcPr>
          <w:p w14:paraId="714C5D0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19998F2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192535062</w:t>
            </w:r>
          </w:p>
        </w:tc>
      </w:tr>
      <w:tr w:rsidR="00317816" w:rsidRPr="00C24D02" w14:paraId="0ABF7B52" w14:textId="77777777" w:rsidTr="003D1A59">
        <w:trPr>
          <w:trHeight w:val="741"/>
        </w:trPr>
        <w:tc>
          <w:tcPr>
            <w:tcW w:w="2405" w:type="dxa"/>
          </w:tcPr>
          <w:p w14:paraId="6FD59DB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10FEB3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Curricula Designer</w:t>
            </w:r>
          </w:p>
        </w:tc>
      </w:tr>
      <w:tr w:rsidR="00317816" w:rsidRPr="00C24D02" w14:paraId="1BFDD3E9" w14:textId="77777777" w:rsidTr="003D1A59">
        <w:tc>
          <w:tcPr>
            <w:tcW w:w="2405" w:type="dxa"/>
          </w:tcPr>
          <w:p w14:paraId="6EEAA04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A13931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w:t>
            </w:r>
          </w:p>
        </w:tc>
      </w:tr>
      <w:tr w:rsidR="00317816" w:rsidRPr="00C24D02" w14:paraId="04062F69" w14:textId="77777777" w:rsidTr="003D1A59">
        <w:tc>
          <w:tcPr>
            <w:tcW w:w="2405" w:type="dxa"/>
          </w:tcPr>
          <w:p w14:paraId="73B7583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5BC086F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1004AC21" w14:textId="77777777" w:rsidTr="003D1A59">
        <w:tc>
          <w:tcPr>
            <w:tcW w:w="2405" w:type="dxa"/>
          </w:tcPr>
          <w:p w14:paraId="7C5590C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06"/>
            </w:r>
            <w:r w:rsidRPr="00C24D02">
              <w:rPr>
                <w:rFonts w:asciiTheme="minorHAnsi" w:eastAsia="Calibri" w:hAnsiTheme="minorHAnsi" w:cstheme="minorHAnsi"/>
              </w:rPr>
              <w:t>)</w:t>
            </w:r>
          </w:p>
        </w:tc>
        <w:tc>
          <w:tcPr>
            <w:tcW w:w="6378" w:type="dxa"/>
          </w:tcPr>
          <w:p w14:paraId="79A026F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4/5/-/5</w:t>
            </w:r>
          </w:p>
        </w:tc>
      </w:tr>
      <w:tr w:rsidR="00317816" w:rsidRPr="00C24D02" w14:paraId="5096C59D" w14:textId="77777777" w:rsidTr="003D1A59">
        <w:tc>
          <w:tcPr>
            <w:tcW w:w="2405" w:type="dxa"/>
          </w:tcPr>
          <w:p w14:paraId="1E4C16F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681A3601"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4.</w:t>
            </w:r>
          </w:p>
        </w:tc>
      </w:tr>
    </w:tbl>
    <w:p w14:paraId="4327FE8A" w14:textId="77777777" w:rsidR="00317816" w:rsidRPr="00C24D02" w:rsidRDefault="00317816" w:rsidP="00317816">
      <w:pPr>
        <w:spacing w:after="144" w:line="360" w:lineRule="auto"/>
        <w:rPr>
          <w:rFonts w:asciiTheme="minorHAnsi" w:hAnsiTheme="minorHAnsi" w:cstheme="minorHAnsi"/>
        </w:rPr>
      </w:pPr>
    </w:p>
    <w:p w14:paraId="705CBA30"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Proti procesu hodnocení</w:t>
      </w:r>
    </w:p>
    <w:p w14:paraId="305FBD4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63ECE76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Hodnocení výsledku je vysoce subjektivní a neodpovídá reálnému stavu v dané oblasti. Hodnocení nereflektuje údaje uvedené u vykázaného výsledku. Hodnocení oběma hodnotiteli i panelistou nereflektuje hodnotící stupnici a obsahuje nerelevantní hodnotící komentáře, na základě kterých je (v rozporu s metodikou) navrženo celkové hodnocení výsledku. </w:t>
      </w:r>
    </w:p>
    <w:p w14:paraId="1275D3A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Odůvodnění: </w:t>
      </w:r>
    </w:p>
    <w:p w14:paraId="4D46605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Panelista, na základě zdůvodnění hodnotitelů, navrhuje stupeň 5 a uvádí k tomu </w:t>
      </w:r>
      <w:r w:rsidRPr="00C24D02">
        <w:rPr>
          <w:rFonts w:asciiTheme="minorHAnsi" w:hAnsiTheme="minorHAnsi" w:cstheme="minorHAnsi"/>
          <w:b/>
          <w:bCs/>
        </w:rPr>
        <w:t xml:space="preserve">pouze </w:t>
      </w:r>
      <w:r w:rsidRPr="00C24D02">
        <w:rPr>
          <w:rFonts w:asciiTheme="minorHAnsi" w:hAnsiTheme="minorHAnsi" w:cstheme="minorHAnsi"/>
        </w:rPr>
        <w:t xml:space="preserve">tyto dva důvody (kurzíva přímo cituje panelistu, resp. hodnotitele): </w:t>
      </w:r>
    </w:p>
    <w:p w14:paraId="1FEB21A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1. Nástroj nebude mít vliv na zlepšení situace ve vzdělávání kyberbezpečnosti, protože „</w:t>
      </w:r>
      <w:r w:rsidRPr="00C24D02">
        <w:rPr>
          <w:rFonts w:asciiTheme="minorHAnsi" w:hAnsiTheme="minorHAnsi" w:cstheme="minorHAnsi"/>
          <w:i/>
          <w:iCs/>
        </w:rPr>
        <w:t>mladí lidé se na IT a kyberbezpečnostní obory hlásí v nedostatečných počtech</w:t>
      </w:r>
      <w:r w:rsidRPr="00C24D02">
        <w:rPr>
          <w:rFonts w:asciiTheme="minorHAnsi" w:hAnsiTheme="minorHAnsi" w:cstheme="minorHAnsi"/>
        </w:rPr>
        <w:t xml:space="preserve">“. </w:t>
      </w:r>
    </w:p>
    <w:p w14:paraId="1A75FB8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2. „</w:t>
      </w:r>
      <w:r w:rsidRPr="00C24D02">
        <w:rPr>
          <w:rFonts w:asciiTheme="minorHAnsi" w:hAnsiTheme="minorHAnsi" w:cstheme="minorHAnsi"/>
          <w:i/>
          <w:iCs/>
        </w:rPr>
        <w:t xml:space="preserve">obor se vyvíjí rychle se zrychlujícím tempem.“, </w:t>
      </w:r>
      <w:r w:rsidRPr="00C24D02">
        <w:rPr>
          <w:rFonts w:asciiTheme="minorHAnsi" w:hAnsiTheme="minorHAnsi" w:cstheme="minorHAnsi"/>
        </w:rPr>
        <w:t>tedy „</w:t>
      </w:r>
      <w:r w:rsidRPr="00C24D02">
        <w:rPr>
          <w:rFonts w:asciiTheme="minorHAnsi" w:hAnsiTheme="minorHAnsi" w:cstheme="minorHAnsi"/>
          <w:i/>
          <w:iCs/>
        </w:rPr>
        <w:t>Navrhování studijního programu striktně zaměřeného na aktuální stav oboru – ať už v době tvorby programu nebo zápisu studentů – riskuje, že absolventi budou mít v době vstupu na trh práce zastaralé znalosti.</w:t>
      </w:r>
      <w:r w:rsidRPr="00C24D02">
        <w:rPr>
          <w:rFonts w:asciiTheme="minorHAnsi" w:hAnsiTheme="minorHAnsi" w:cstheme="minorHAnsi"/>
        </w:rPr>
        <w:t xml:space="preserve">“ </w:t>
      </w:r>
    </w:p>
    <w:p w14:paraId="3B3F1BF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Oba uvedené argumenty v hodnocení jsou zcela irelevantní a nijak se nevyjadřují ke kvalitě výsledku. Nelze rezignovat na tvorbu nových nástrojů a metod tvorby studijních programů jen proto, že se na ně nehlásí praxí požadovaný počet studentů a že se obor kyberbezpečnosti vyvíjí příliš rychle. Naopak, toto jsou přece důvody ke vzniku nových nástrojů a metod ke zlepšení vzdělávacích programů, do kterých se jen u předkladatele hlásí každoročně stovky studentů. </w:t>
      </w:r>
    </w:p>
    <w:p w14:paraId="7F1FEBB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Hodnotitel 2 dále uvádí 4 „poznatky“ k aktuálnímu stavu vzdělávání v kyberbezpečnosti, ty však neobsahují žádné reálné argumenty proti kvalitě a dopadům vytvořeného nástroje, </w:t>
      </w:r>
      <w:r w:rsidRPr="00C24D02">
        <w:rPr>
          <w:rFonts w:asciiTheme="minorHAnsi" w:hAnsiTheme="minorHAnsi" w:cstheme="minorHAnsi"/>
        </w:rPr>
        <w:lastRenderedPageBreak/>
        <w:t xml:space="preserve">pouze subjektivně komentují stav v současném vzdělávání. Je zřejmé, že hodnotitel ani nečetl popis výsledku, pokud zmiňuje např. následující hodnocení: </w:t>
      </w:r>
    </w:p>
    <w:p w14:paraId="06A23B9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i/>
          <w:iCs/>
        </w:rPr>
        <w:t xml:space="preserve">„further limit the applicability of a uniform AI-based curriculum tool. While artificial intelligence may assist in certain educational support tasks, entrusting the design of university-level curricula to such a simplified system is, in ourview, premature and not aligned with the complexity of the task.“, </w:t>
      </w:r>
    </w:p>
    <w:p w14:paraId="18D522F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přičemž </w:t>
      </w:r>
      <w:r w:rsidRPr="00C24D02">
        <w:rPr>
          <w:rFonts w:asciiTheme="minorHAnsi" w:hAnsiTheme="minorHAnsi" w:cstheme="minorHAnsi"/>
          <w:b/>
          <w:bCs/>
        </w:rPr>
        <w:t>předložený nástroj v žádné své části vůbec AI nepoužívá a ani předložený text nijak problematiku AI nezmiňuje</w:t>
      </w:r>
      <w:r w:rsidRPr="00C24D02">
        <w:rPr>
          <w:rFonts w:asciiTheme="minorHAnsi" w:hAnsiTheme="minorHAnsi" w:cstheme="minorHAnsi"/>
        </w:rPr>
        <w:t xml:space="preserve">. Dále hodnotitel uvádí např.: </w:t>
      </w:r>
    </w:p>
    <w:p w14:paraId="43AA408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w:t>
      </w:r>
      <w:r w:rsidRPr="00C24D02">
        <w:rPr>
          <w:rFonts w:asciiTheme="minorHAnsi" w:hAnsiTheme="minorHAnsi" w:cstheme="minorHAnsi"/>
          <w:i/>
          <w:iCs/>
        </w:rPr>
        <w:t>These core educational goals are largely absent from the tool and do not appear to be supported or even acknowledged by its framework</w:t>
      </w:r>
      <w:r w:rsidRPr="00C24D02">
        <w:rPr>
          <w:rFonts w:asciiTheme="minorHAnsi" w:hAnsiTheme="minorHAnsi" w:cstheme="minorHAnsi"/>
        </w:rPr>
        <w:t xml:space="preserve">.“ </w:t>
      </w:r>
    </w:p>
    <w:p w14:paraId="757A781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 textu popisu výsledku je hned na první straně jasně deklarováno: </w:t>
      </w:r>
    </w:p>
    <w:p w14:paraId="765E36F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“The Cybersecurity Curricula Designer tool is a publicly available web application that </w:t>
      </w:r>
      <w:r w:rsidRPr="00C24D02">
        <w:rPr>
          <w:rFonts w:asciiTheme="minorHAnsi" w:hAnsiTheme="minorHAnsi" w:cstheme="minorHAnsi"/>
          <w:b/>
          <w:bCs/>
        </w:rPr>
        <w:t xml:space="preserve">implements the US (NIST NICE) and European (ENISA ECSF) frameworks </w:t>
      </w:r>
      <w:r w:rsidRPr="00C24D02">
        <w:rPr>
          <w:rFonts w:asciiTheme="minorHAnsi" w:hAnsiTheme="minorHAnsi" w:cstheme="minorHAnsi"/>
        </w:rPr>
        <w:t>into practice.”,……</w:t>
      </w:r>
    </w:p>
    <w:p w14:paraId="177074E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Hodnocení výsledku je tak v zásadním rozporu s platnou metodikou. Výsledek “Curricula Designer” tak na základě předloženého popisu, vzniklého v rámci mezinárodního konsorcia, a jeho dopadu v zahraničí naplňuje indikátory stupňů 1 nebo 2 dle Kvalitativní stupnice. Žádáme proto o přehodnocení stávajícího stupně.</w:t>
      </w:r>
    </w:p>
    <w:p w14:paraId="5042B36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Oba Hodnotitelé i Panelista znovu posoudili předložený výsledek a nenašli žádné důvody pro změnu původního hodnocení známkou 5. Toto hodnocení je podrobně zdůvodněno především v hodnocení Hodnotitele 2. Námitky, že hodnocení je v rozporu s metodikou M17+ jsou podle Panelisty neopodstatněné.</w:t>
      </w:r>
    </w:p>
    <w:p w14:paraId="29E8D082"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Vyjádření Odborného panelu:</w:t>
      </w:r>
      <w:r w:rsidRPr="00C24D02">
        <w:rPr>
          <w:rFonts w:asciiTheme="minorHAnsi" w:hAnsiTheme="minorHAnsi" w:cstheme="minorHAnsi"/>
          <w:b/>
        </w:rPr>
        <w:t xml:space="preserve"> </w:t>
      </w:r>
      <w:r w:rsidRPr="00C24D02">
        <w:rPr>
          <w:rFonts w:asciiTheme="minorHAnsi" w:hAnsiTheme="minorHAnsi" w:cstheme="minorHAnsi"/>
        </w:rPr>
        <w:t>Panel navrhuje námitce nevyhovět a ponechat původní hodnocení stupněm 5.</w:t>
      </w:r>
    </w:p>
    <w:p w14:paraId="6393C226"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6B1EFE71" w14:textId="19458D5F" w:rsidR="00317816" w:rsidRPr="00C24D02" w:rsidRDefault="00317816" w:rsidP="00317816">
      <w:pPr>
        <w:spacing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nesouhlasí s názorem panelu a navrhuje změnu hodnocení na 4. Výsledek představuje reálně využívaný softwarový nástroj s prokazatelným společenským dopadem v oblasti kyberbezpečnosti a vzdělávání.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1744ECD" w14:textId="77777777" w:rsidTr="003D1A59">
        <w:tc>
          <w:tcPr>
            <w:tcW w:w="2405" w:type="dxa"/>
          </w:tcPr>
          <w:p w14:paraId="1F141EA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Instituce</w:t>
            </w:r>
          </w:p>
        </w:tc>
        <w:tc>
          <w:tcPr>
            <w:tcW w:w="6379" w:type="dxa"/>
          </w:tcPr>
          <w:p w14:paraId="61E7B76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Vysoké učení technické v Brně - Fakulta elektrotechniky a komunikačních technologií</w:t>
            </w:r>
          </w:p>
        </w:tc>
      </w:tr>
      <w:tr w:rsidR="00317816" w:rsidRPr="00C24D02" w14:paraId="4B58E7CE" w14:textId="77777777" w:rsidTr="003D1A59">
        <w:tc>
          <w:tcPr>
            <w:tcW w:w="2405" w:type="dxa"/>
          </w:tcPr>
          <w:p w14:paraId="35FFDA8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9" w:type="dxa"/>
          </w:tcPr>
          <w:p w14:paraId="336F2E8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192535069</w:t>
            </w:r>
          </w:p>
        </w:tc>
      </w:tr>
      <w:tr w:rsidR="00317816" w:rsidRPr="00C24D02" w14:paraId="76C0B047" w14:textId="77777777" w:rsidTr="003D1A59">
        <w:trPr>
          <w:trHeight w:val="741"/>
        </w:trPr>
        <w:tc>
          <w:tcPr>
            <w:tcW w:w="2405" w:type="dxa"/>
          </w:tcPr>
          <w:p w14:paraId="2CC19FD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9" w:type="dxa"/>
          </w:tcPr>
          <w:p w14:paraId="1B1E5C1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Aplikace pro pokročilou správu včelstev založená na umělé inteligenci</w:t>
            </w:r>
          </w:p>
        </w:tc>
      </w:tr>
      <w:tr w:rsidR="00317816" w:rsidRPr="00C24D02" w14:paraId="410D13CF" w14:textId="77777777" w:rsidTr="003D1A59">
        <w:tc>
          <w:tcPr>
            <w:tcW w:w="2405" w:type="dxa"/>
          </w:tcPr>
          <w:p w14:paraId="59379BA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9" w:type="dxa"/>
          </w:tcPr>
          <w:p w14:paraId="455AA23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w:t>
            </w:r>
          </w:p>
        </w:tc>
      </w:tr>
      <w:tr w:rsidR="00317816" w:rsidRPr="00C24D02" w14:paraId="7C30BBE7" w14:textId="77777777" w:rsidTr="003D1A59">
        <w:tc>
          <w:tcPr>
            <w:tcW w:w="2405" w:type="dxa"/>
          </w:tcPr>
          <w:p w14:paraId="2DBDB62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9" w:type="dxa"/>
          </w:tcPr>
          <w:p w14:paraId="6201DAB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43983C2C" w14:textId="77777777" w:rsidTr="003D1A59">
        <w:tc>
          <w:tcPr>
            <w:tcW w:w="2405" w:type="dxa"/>
          </w:tcPr>
          <w:p w14:paraId="74A57EC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07"/>
            </w:r>
            <w:r w:rsidRPr="00C24D02">
              <w:rPr>
                <w:rFonts w:asciiTheme="minorHAnsi" w:eastAsia="Calibri" w:hAnsiTheme="minorHAnsi" w:cstheme="minorHAnsi"/>
              </w:rPr>
              <w:t>)</w:t>
            </w:r>
          </w:p>
        </w:tc>
        <w:tc>
          <w:tcPr>
            <w:tcW w:w="6379" w:type="dxa"/>
          </w:tcPr>
          <w:p w14:paraId="0BFEA8A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4/4/-/4</w:t>
            </w:r>
          </w:p>
        </w:tc>
      </w:tr>
      <w:tr w:rsidR="00317816" w:rsidRPr="00C24D02" w14:paraId="3754C3C7" w14:textId="77777777" w:rsidTr="003D1A59">
        <w:tc>
          <w:tcPr>
            <w:tcW w:w="2405" w:type="dxa"/>
          </w:tcPr>
          <w:p w14:paraId="42493E5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9" w:type="dxa"/>
          </w:tcPr>
          <w:p w14:paraId="0EE9B86C"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49E77A24" w14:textId="77777777" w:rsidR="00317816" w:rsidRPr="00C24D02" w:rsidRDefault="00317816" w:rsidP="00317816">
      <w:pPr>
        <w:spacing w:after="144" w:line="360" w:lineRule="auto"/>
        <w:rPr>
          <w:rFonts w:asciiTheme="minorHAnsi" w:hAnsiTheme="minorHAnsi" w:cstheme="minorHAnsi"/>
        </w:rPr>
      </w:pPr>
    </w:p>
    <w:p w14:paraId="5045908B"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Proti procesu hodnocení</w:t>
      </w:r>
    </w:p>
    <w:p w14:paraId="17C6F9B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765C2E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Hodnocení výsledku stupněm 4 neodpovídá platné hodnotící stupnici. Hodnocení nereflektuje stav poznání v době uplatnění (realizace) výsledku, což je v rozporu s principy a standardy věcného hodnocení. Celkové hodnocení ani neodpovídá závěrům samotného posudku a je tak v rozporu s platnou metodikou, zejména s uplatněním kvalitativní stupnice. </w:t>
      </w:r>
    </w:p>
    <w:p w14:paraId="25F4172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Odůvodnění: </w:t>
      </w:r>
    </w:p>
    <w:p w14:paraId="2029F6B6"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Oba hodnotitelé shodně uvádějí, že existují konkurenční řešení, která mají být podle nich funkčně vyspělejší. Nikde však tato řešení explicitně neuvádějí ani nedokládají, čímž svá tvrzení neopírají o konkrétní důkazy či doklady. Hodnotitelé pravděpodobně porovnávají vykazovaný výsledek s novými systémy, které byly vytvořeny až v letošním roce s pomocí AI. </w:t>
      </w:r>
      <w:r w:rsidRPr="00C24D02">
        <w:rPr>
          <w:rFonts w:asciiTheme="minorHAnsi" w:hAnsiTheme="minorHAnsi" w:cstheme="minorHAnsi"/>
          <w:b/>
          <w:bCs/>
        </w:rPr>
        <w:t xml:space="preserve">Takový postup neodpovídá standardům věcného hodnocení. </w:t>
      </w:r>
      <w:r w:rsidRPr="00C24D02">
        <w:rPr>
          <w:rFonts w:asciiTheme="minorHAnsi" w:hAnsiTheme="minorHAnsi" w:cstheme="minorHAnsi"/>
        </w:rPr>
        <w:t xml:space="preserve">V popisu vykazovaného výsledku je jednoznačně doloženo srovnání s tehdejšími dostupnými zahraničními aplikacemi, </w:t>
      </w:r>
      <w:r w:rsidRPr="00C24D02">
        <w:rPr>
          <w:rFonts w:asciiTheme="minorHAnsi" w:hAnsiTheme="minorHAnsi" w:cstheme="minorHAnsi"/>
          <w:b/>
          <w:bCs/>
        </w:rPr>
        <w:t xml:space="preserve">které jednoznačně prokazuje unikátnost vykazovaného řešení. </w:t>
      </w:r>
    </w:p>
    <w:p w14:paraId="04EA640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 xml:space="preserve">Dále je nutné zdůraznit, že systém ApiCo již i v době podání návrhu dosahoval tržeb (jak bylo jasně deklarováno ve vlastním popisu výsledku), což je objektivní doklad o jeho přijetí uživatelskou komunitou a o praktické hodnotě řešení. Pokud by aplikace neměla jasné výhody oproti konkurenci, na trhu by se neuplatnila a ekonomický přínos by nevznikl. </w:t>
      </w:r>
    </w:p>
    <w:p w14:paraId="2F0C5E6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K posudku hodnotitele 1 </w:t>
      </w:r>
    </w:p>
    <w:p w14:paraId="088F351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Hodnotitel oceňuje snahu o integraci technologií a sám připouští, že výsledek má využití v komunitě uživatelů, kteří mají zájem o digitální nástroje ve včelařství. Takové konstatování je přímým důkazem pozitivního společenského dopadu výsledku. </w:t>
      </w:r>
      <w:r w:rsidRPr="00C24D02">
        <w:rPr>
          <w:rFonts w:asciiTheme="minorHAnsi" w:hAnsiTheme="minorHAnsi" w:cstheme="minorHAnsi"/>
          <w:b/>
          <w:bCs/>
        </w:rPr>
        <w:t xml:space="preserve">Hodnocení stupněm 4 proto neodpovídá závěrům samotného posudku </w:t>
      </w:r>
      <w:r w:rsidRPr="00C24D02">
        <w:rPr>
          <w:rFonts w:asciiTheme="minorHAnsi" w:hAnsiTheme="minorHAnsi" w:cstheme="minorHAnsi"/>
        </w:rPr>
        <w:t xml:space="preserve">– dle metodiky měl být výsledek hodnocen alespoň stupněm 3. </w:t>
      </w:r>
    </w:p>
    <w:p w14:paraId="78F3B33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K posudku hodnotitele 2 </w:t>
      </w:r>
    </w:p>
    <w:p w14:paraId="382FA10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Hodnotitel zpochybňuje deklarovanou výhodu automatického vyhodnocování dat prostřednictvím neuronových sítí, aniž by předložil vlastní podklady či analýzu konkurence. Přitom v technické zprávě je zřetelně doložena metodika a principy, na jejichž základě jsou události (např. rojení, přidání nástavku, krmení) detekovány a ukládány do deníku. Tyto principy byly testovány v praxi, což vedlo i k zapracování připomínek samotných včelařů. </w:t>
      </w:r>
    </w:p>
    <w:p w14:paraId="16420F4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Je třeba zdůraznit, že v oblasti AI došlo během posledního roku k mimořádně rychlému pokroku. Nelze tedy porovnávat výsledek, jehož popis byl zpracován před více než rokem, s dnešními systémy a modely, které využívají nejnovější generace AI. </w:t>
      </w:r>
      <w:r w:rsidRPr="00C24D02">
        <w:rPr>
          <w:rFonts w:asciiTheme="minorHAnsi" w:hAnsiTheme="minorHAnsi" w:cstheme="minorHAnsi"/>
          <w:b/>
          <w:bCs/>
        </w:rPr>
        <w:t xml:space="preserve">Hodnocení by mělo vycházet z kontextu doby podání, nikoli ze srovnávání s technologiemi, které vznikly až následně. </w:t>
      </w:r>
    </w:p>
    <w:p w14:paraId="7F508F9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Navíc samotná existence doložených tržeb potvrzuje funkčnost systému a jeho přijetí uživatelskou komunitou. Hodnocení stupněm 4 je proto neadekvátní – správně měl hodnotitel zvolit stupeň 3. </w:t>
      </w:r>
    </w:p>
    <w:p w14:paraId="50A1D00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Panelista se k výsledku nijak nevyjadřuje, pouze přejímá dílčí známky a uděluje tak finální hodnocení stupněm 4. S ohledem na doložené výnosy, a tedy prokazatelný komerční úspěch, by však mělo být uděleno hodnocení alespoň stupněm 3.</w:t>
      </w:r>
      <w:r w:rsidRPr="00C24D02">
        <w:rPr>
          <w:rFonts w:asciiTheme="minorHAnsi" w:hAnsiTheme="minorHAnsi" w:cstheme="minorHAnsi"/>
        </w:rPr>
        <w:t xml:space="preserve">, </w:t>
      </w:r>
    </w:p>
    <w:p w14:paraId="6AB56DB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Oba Hodnotitelé znovu posoudili předložený výsledek a shodli se včetně Panelisty na následujícím závěru: Předloženou námitku nelze akceptovat, neboť výsledek </w:t>
      </w:r>
      <w:r w:rsidRPr="00C24D02">
        <w:rPr>
          <w:rFonts w:asciiTheme="minorHAnsi" w:hAnsiTheme="minorHAnsi" w:cstheme="minorHAnsi"/>
        </w:rPr>
        <w:lastRenderedPageBreak/>
        <w:t>skutečně odpovídá stupni 4, neboť se jedná o výsledek z hlediska originality, významu a obtížnosti získání národně uznatelný s reálným předpokladem dílčího uplatnění v oblastech veřejného zájmu. V tomto případě se nelze opírat o uvedené ekonomické přínosy projektu, kde se deklaruje, že v průběhu roku 2024 cca 29% prodeje produktu bylo do zahraničí, není však uvedena jakákoliv následná zpětná vazba či hodnocení uživatelů. Co se týká vyhodnocení dat nástroji umělé inteligence, v předložené dokumentaci je sice celá řada záznamů měřených veličin s relevantními komentáři k jejich průběhům, nicméně poznámky k autonomnímu zpracování takových dat v kapitole 3.2.4 a 3.2.5 jsou pouze na obecné úrovni, nikde nelze vyvodit, že takové metody byly implementovány a zprovozněny, nelze nalézt ani žádné vyhodnocení, statistiky, atd., že algoritmy skutečně fungují. Zároveň je nutné konstatovat, že všechny záchyty událostí např. rojení, medobraní, atd. byly prezentovány pouze na základě trendů přímo měřených dat, není dohledatelný např. žádný automatický report typu „blíží se rojení“, „probíhá rojení“, „zrychluje snůška“, atd.</w:t>
      </w:r>
    </w:p>
    <w:p w14:paraId="4D3FA80D"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1E1EE400"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bookmarkStart w:id="32" w:name="_Hlk220612879"/>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6310F769" w14:textId="1C4D3AAC" w:rsidR="00317816" w:rsidRPr="00C24D02" w:rsidRDefault="00317816" w:rsidP="00317816">
      <w:pPr>
        <w:spacing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302A550C" w14:textId="77777777" w:rsidTr="003D1A59">
        <w:tc>
          <w:tcPr>
            <w:tcW w:w="2405" w:type="dxa"/>
          </w:tcPr>
          <w:bookmarkEnd w:id="32"/>
          <w:p w14:paraId="1CF06C2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9" w:type="dxa"/>
          </w:tcPr>
          <w:p w14:paraId="4E73164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Vysoké učení technické v Brně - Fakulta chemická</w:t>
            </w:r>
          </w:p>
        </w:tc>
      </w:tr>
      <w:tr w:rsidR="00317816" w:rsidRPr="00C24D02" w14:paraId="5398DD57" w14:textId="77777777" w:rsidTr="003D1A59">
        <w:tc>
          <w:tcPr>
            <w:tcW w:w="2405" w:type="dxa"/>
          </w:tcPr>
          <w:p w14:paraId="630D6A2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9" w:type="dxa"/>
          </w:tcPr>
          <w:p w14:paraId="14AD336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192427673</w:t>
            </w:r>
          </w:p>
        </w:tc>
      </w:tr>
      <w:tr w:rsidR="00317816" w:rsidRPr="00C24D02" w14:paraId="1CD82B86" w14:textId="77777777" w:rsidTr="003D1A59">
        <w:trPr>
          <w:trHeight w:val="741"/>
        </w:trPr>
        <w:tc>
          <w:tcPr>
            <w:tcW w:w="2405" w:type="dxa"/>
          </w:tcPr>
          <w:p w14:paraId="2A7028E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9" w:type="dxa"/>
          </w:tcPr>
          <w:p w14:paraId="2BDEC92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Electrode Spacing as a Determinant of the Output Performance of Planar-Type Photodetectors Based on Methylammonium Lead Bromide Perovskite Single Crystals</w:t>
            </w:r>
          </w:p>
        </w:tc>
      </w:tr>
      <w:tr w:rsidR="00317816" w:rsidRPr="00C24D02" w14:paraId="648E89F0" w14:textId="77777777" w:rsidTr="003D1A59">
        <w:tc>
          <w:tcPr>
            <w:tcW w:w="2405" w:type="dxa"/>
          </w:tcPr>
          <w:p w14:paraId="2C0A704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9" w:type="dxa"/>
          </w:tcPr>
          <w:p w14:paraId="2782EB6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2.5.</w:t>
            </w:r>
          </w:p>
        </w:tc>
      </w:tr>
      <w:tr w:rsidR="00317816" w:rsidRPr="00C24D02" w14:paraId="0CAAB7A0" w14:textId="77777777" w:rsidTr="003D1A59">
        <w:tc>
          <w:tcPr>
            <w:tcW w:w="2405" w:type="dxa"/>
          </w:tcPr>
          <w:p w14:paraId="4B4EB81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9" w:type="dxa"/>
          </w:tcPr>
          <w:p w14:paraId="25FA416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38CCE7EB" w14:textId="77777777" w:rsidTr="003D1A59">
        <w:tc>
          <w:tcPr>
            <w:tcW w:w="2405" w:type="dxa"/>
          </w:tcPr>
          <w:p w14:paraId="0C532E0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08"/>
            </w:r>
            <w:r w:rsidRPr="00C24D02">
              <w:rPr>
                <w:rFonts w:asciiTheme="minorHAnsi" w:eastAsia="Calibri" w:hAnsiTheme="minorHAnsi" w:cstheme="minorHAnsi"/>
              </w:rPr>
              <w:t>)</w:t>
            </w:r>
          </w:p>
        </w:tc>
        <w:tc>
          <w:tcPr>
            <w:tcW w:w="6379" w:type="dxa"/>
          </w:tcPr>
          <w:p w14:paraId="6E18644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2/3/-/3</w:t>
            </w:r>
          </w:p>
        </w:tc>
      </w:tr>
      <w:tr w:rsidR="00317816" w:rsidRPr="00C24D02" w14:paraId="55DEDEBA" w14:textId="77777777" w:rsidTr="003D1A59">
        <w:tc>
          <w:tcPr>
            <w:tcW w:w="2405" w:type="dxa"/>
          </w:tcPr>
          <w:p w14:paraId="27E9E54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Návrh rozhodnutí Rady</w:t>
            </w:r>
          </w:p>
        </w:tc>
        <w:tc>
          <w:tcPr>
            <w:tcW w:w="6379" w:type="dxa"/>
          </w:tcPr>
          <w:p w14:paraId="530DDCDD"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2.</w:t>
            </w:r>
          </w:p>
        </w:tc>
      </w:tr>
    </w:tbl>
    <w:p w14:paraId="62137A9B" w14:textId="77777777" w:rsidR="00317816" w:rsidRPr="00C24D02" w:rsidRDefault="00317816" w:rsidP="00317816">
      <w:pPr>
        <w:spacing w:after="144" w:line="360" w:lineRule="auto"/>
        <w:rPr>
          <w:rFonts w:asciiTheme="minorHAnsi" w:hAnsiTheme="minorHAnsi" w:cstheme="minorHAnsi"/>
        </w:rPr>
      </w:pPr>
    </w:p>
    <w:p w14:paraId="205381E0"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Proti procesu hodnocení</w:t>
      </w:r>
    </w:p>
    <w:p w14:paraId="3EAA21A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FD8DA4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Při posuzování výsledku nebyly vzaty v potaz všechny uvedené skutečnosti. Některé uvedené informace byly mylně interpretovány. Výsledek byl hodnocen v rozporu s platnou metodikou hodnocení. Na základě níže uvedených pochybení žádáme o přezkoumání a přehodnocení výsledné známky výsledku. </w:t>
      </w:r>
    </w:p>
    <w:p w14:paraId="5D39D55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Odůvodnění: </w:t>
      </w:r>
    </w:p>
    <w:p w14:paraId="0EBB444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Posudek hodnotitele 1, udělená známka „2“: </w:t>
      </w:r>
    </w:p>
    <w:p w14:paraId="4136219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„Výsledek "Electrode Spacing as a Determinant of the Output Performance of Planar-Type Photodetectors Based on Methylammonium Lead Bromide Perovskite Single Crystals" publikovaný v časopise "ACS applied materials &amp; interfaces" zkoumá výhody planárního uspořádání elektrod fotodetektorů. Výsledkem publikovaného výstupu jsou nová řešení pro návrh vysoce výkonných fotodetektorů. Hodnoceným kritériem je "Přínos k poznání", kde vysoký počet citací článku (21) a má normalizovaný citační impakt (CNCI) 1,91. To dokazuje jeho vliv na výzkum perovskitů a jeho relevanci v oblasti optoelektroniky a polovodičů. </w:t>
      </w:r>
    </w:p>
    <w:p w14:paraId="54B29B1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Citace ve vysoce impaktovaných časopisech, jako jsou Nano Energy a Small, dokladují globální význam, který si získal od předních výzkumných skupin. Současně je možno konstatovat velký aplikační potenciál publikovaných výsledků. Výsledek, který je z hlediska originality, významu a obtížnosti získání na vynikající mezinárodní úrovni.“ </w:t>
      </w:r>
    </w:p>
    <w:p w14:paraId="62F5361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Komentář k hodnocení: </w:t>
      </w:r>
    </w:p>
    <w:p w14:paraId="7428338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Tento hodnotitel jednoznačně identifikuje informace uvedené ve zdůvodnění (počet citací a CNCI) jako ukazatele reflektující vysoký ohlas práce v odborné veřejnosti, tedy její signifikantní „přínos k poznání“. S uvedeným hodnocením souhlasíme. </w:t>
      </w:r>
    </w:p>
    <w:p w14:paraId="454D4D2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Posudek hodnotitele 2, udělená známka „3“: </w:t>
      </w:r>
    </w:p>
    <w:p w14:paraId="4194E6B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 xml:space="preserve">„Předložený výsledek významně přispívá k prohloubení porozumění vztahu mezi geometrií zařízení a jeho fotodetekčními vlastnostmi u perovskitových monokrystalických fotodetektorů. Zatímco řada předchozích prací se soustředila na materiálovou optimalizaci perovskitů, tato studie systematicky zkoumá vliv vzdálenosti elektrod (od 50 do 1000 μm) na výkon zařízení. Získané výsledky ukazují, že zmenšení rozestupu výrazně zvyšuje fotoproud, citlivost i detekční schopnosti (EQE, R, D*) bez potřeby filtrace signálu, což je z hlediska praktické miniaturizace a integrace zařízení zásadní. Měření navíc prokazuje vynikající stabilitu odezvy při nízké intenzitě osvětlení, čímž posiluje aplikační potenciál perovskitů v oblasti slabého světla a precizní detekce. Článek má potenciál mezinárodního uznání, proto hodnotím známkou 3.“ </w:t>
      </w:r>
    </w:p>
    <w:p w14:paraId="0863103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Odůvodnění odvolání proti hodnocení: </w:t>
      </w:r>
    </w:p>
    <w:p w14:paraId="5B7291E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Tento hodnotitel ve svém komentáři uvádí pouze pozitivní hodnocení a nijak neopodstatňuje udělenou známku 3. Bez uvedení, proč výsledek nedosahuje excelence (známka 2) nebo proč není world-leading (známka 1), je udělená známka 3 v rozporu se slovním hodnocením……</w:t>
      </w:r>
    </w:p>
    <w:p w14:paraId="55544F6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w:t>
      </w:r>
      <w:r w:rsidRPr="00C24D02">
        <w:rPr>
          <w:rFonts w:asciiTheme="minorHAnsi" w:hAnsiTheme="minorHAnsi" w:cstheme="minorHAnsi"/>
          <w:b/>
          <w:bCs/>
        </w:rPr>
        <w:t>Jak vyplývá z uvedené argumentace, výsledek byl hodnocen na základě mylné interpretace doložených informací, zejména doložené citační analýzy. Výsledek proto byl hodnocen v rozporu s platnou metodikou hodnocení. Na základě výše uvedených pochybení žádáme o přezkoumání a přehodnocení výsledné známky výsledku.</w:t>
      </w:r>
    </w:p>
    <w:p w14:paraId="1E768E9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Na základě předložené námitky byla opětovně zkontrolována citační odezva dané publikace. Za cca rok došlo k významnému nárustu citací a publikace si nadále drží atributy, které autoři deklarují (tj. normalizovaný citační impakt, vysoká citovanost a významnost pro ostatní odborníky v oboru, atd.). Na základě tohoto přehodnocení udělujeme známku o stupeň vyšší, než v původním hodnocení, tj. finální známku 2.</w:t>
      </w:r>
    </w:p>
    <w:p w14:paraId="4547FEF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vyhovět a upravit původní hodnocení na stupněm 2.</w:t>
      </w:r>
    </w:p>
    <w:p w14:paraId="760DC6C3"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bookmarkStart w:id="33" w:name="_Hlk220613268"/>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50672A5F" w14:textId="59D0A50F"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se závěry Odborného panelu a změnou hodnocení na stupeň 2.</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02E65567" w14:textId="77777777" w:rsidTr="003D1A59">
        <w:tc>
          <w:tcPr>
            <w:tcW w:w="2405" w:type="dxa"/>
          </w:tcPr>
          <w:bookmarkEnd w:id="33"/>
          <w:p w14:paraId="20D1571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Instituce</w:t>
            </w:r>
          </w:p>
        </w:tc>
        <w:tc>
          <w:tcPr>
            <w:tcW w:w="6378" w:type="dxa"/>
          </w:tcPr>
          <w:p w14:paraId="1A06689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Vysoké učení technické v Brně - Fakulta chemická</w:t>
            </w:r>
          </w:p>
        </w:tc>
      </w:tr>
      <w:tr w:rsidR="00317816" w:rsidRPr="00C24D02" w14:paraId="146E7DEC" w14:textId="77777777" w:rsidTr="003D1A59">
        <w:tc>
          <w:tcPr>
            <w:tcW w:w="2405" w:type="dxa"/>
          </w:tcPr>
          <w:p w14:paraId="5966F1E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D5B58E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192496980</w:t>
            </w:r>
          </w:p>
        </w:tc>
      </w:tr>
      <w:tr w:rsidR="00317816" w:rsidRPr="00C24D02" w14:paraId="27E230DD" w14:textId="77777777" w:rsidTr="003D1A59">
        <w:trPr>
          <w:trHeight w:val="741"/>
        </w:trPr>
        <w:tc>
          <w:tcPr>
            <w:tcW w:w="2405" w:type="dxa"/>
          </w:tcPr>
          <w:p w14:paraId="6DE17EB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EC6B38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Technologická linka pro separaci fotovoltaických panelů</w:t>
            </w:r>
          </w:p>
        </w:tc>
      </w:tr>
      <w:tr w:rsidR="00317816" w:rsidRPr="00C24D02" w14:paraId="606479AE" w14:textId="77777777" w:rsidTr="003D1A59">
        <w:tc>
          <w:tcPr>
            <w:tcW w:w="2405" w:type="dxa"/>
          </w:tcPr>
          <w:p w14:paraId="2B795AA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996FC9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2.5</w:t>
            </w:r>
          </w:p>
        </w:tc>
      </w:tr>
      <w:tr w:rsidR="00317816" w:rsidRPr="00C24D02" w14:paraId="4311CF78" w14:textId="77777777" w:rsidTr="003D1A59">
        <w:tc>
          <w:tcPr>
            <w:tcW w:w="2405" w:type="dxa"/>
          </w:tcPr>
          <w:p w14:paraId="099CDFB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623FC26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270EACF1" w14:textId="77777777" w:rsidTr="003D1A59">
        <w:tc>
          <w:tcPr>
            <w:tcW w:w="2405" w:type="dxa"/>
          </w:tcPr>
          <w:p w14:paraId="1D51179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09"/>
            </w:r>
            <w:r w:rsidRPr="00C24D02">
              <w:rPr>
                <w:rFonts w:asciiTheme="minorHAnsi" w:eastAsia="Calibri" w:hAnsiTheme="minorHAnsi" w:cstheme="minorHAnsi"/>
              </w:rPr>
              <w:t>)</w:t>
            </w:r>
          </w:p>
        </w:tc>
        <w:tc>
          <w:tcPr>
            <w:tcW w:w="6378" w:type="dxa"/>
          </w:tcPr>
          <w:p w14:paraId="4B0201D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5/4/-/5</w:t>
            </w:r>
          </w:p>
        </w:tc>
      </w:tr>
      <w:tr w:rsidR="00317816" w:rsidRPr="00C24D02" w14:paraId="53A48A28" w14:textId="77777777" w:rsidTr="003D1A59">
        <w:tc>
          <w:tcPr>
            <w:tcW w:w="2405" w:type="dxa"/>
          </w:tcPr>
          <w:p w14:paraId="790D66B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22ACADC"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4.</w:t>
            </w:r>
          </w:p>
          <w:p w14:paraId="0EB512F2" w14:textId="77777777" w:rsidR="00317816" w:rsidRPr="00C24D02" w:rsidRDefault="00317816" w:rsidP="003D1A59">
            <w:pPr>
              <w:widowControl w:val="0"/>
              <w:spacing w:after="144" w:line="360" w:lineRule="auto"/>
              <w:rPr>
                <w:rFonts w:asciiTheme="minorHAnsi" w:eastAsia="Calibri" w:hAnsiTheme="minorHAnsi" w:cstheme="minorHAnsi"/>
                <w:b/>
              </w:rPr>
            </w:pPr>
          </w:p>
        </w:tc>
      </w:tr>
    </w:tbl>
    <w:p w14:paraId="6A54FBDE" w14:textId="77777777" w:rsidR="00317816" w:rsidRPr="00C24D02" w:rsidRDefault="00317816" w:rsidP="00317816">
      <w:pPr>
        <w:spacing w:after="144" w:line="360" w:lineRule="auto"/>
        <w:rPr>
          <w:rFonts w:asciiTheme="minorHAnsi" w:hAnsiTheme="minorHAnsi" w:cstheme="minorHAnsi"/>
        </w:rPr>
      </w:pPr>
    </w:p>
    <w:p w14:paraId="594F5D99"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Proti procesu hodnocení</w:t>
      </w:r>
    </w:p>
    <w:p w14:paraId="54C68A4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FB39B8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Při posuzování výsledku nebyly vzaty v potaz všechny uvedené skutečnosti. Některé uvedené informace byly mylně interpretovány. Výsledek proto byl hodnocen v rozporu s platnou metodikou hodnocení. Na základě níže uvedených pochybení žádáme o přezkoumání a přehodnocení výsledné známky výsledku.</w:t>
      </w:r>
    </w:p>
    <w:p w14:paraId="0861C2A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Odůvodnění:</w:t>
      </w:r>
    </w:p>
    <w:p w14:paraId="2974BD16"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Posudek hodnotitele 1, udělená známka „5“</w:t>
      </w:r>
    </w:p>
    <w:p w14:paraId="7E86AE9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„Navrhované řešení recyklace fotovoltaických panelů má několik zásadních nedostatků. Předně je navrhovaný postup vhodný pouze pro některé typy panelů (zejména panely na bázi křemíku), jiné typy (mikromorfní, tenkovrstvé) těmito postupy recyklovat nelze. V případě křemíkových panelů je třeba k úspěšné recyklaci dosáhnout vysoké míry separace jednotlivých vrstev (sklo, křemík, hliník, atd.). Navrhovaná dezintegrační stanice má narušit strukturu skla, nicméně není jisté, zda válcováním nedojde také k dezintegraci křemíkových waferů, které jsou tenké (cca 0,3 mm) a velmi křehké. Následně termickým rozkladem dojde k oddělení EVA </w:t>
      </w:r>
      <w:r w:rsidRPr="00C24D02">
        <w:rPr>
          <w:rFonts w:asciiTheme="minorHAnsi" w:hAnsiTheme="minorHAnsi" w:cstheme="minorHAnsi"/>
        </w:rPr>
        <w:lastRenderedPageBreak/>
        <w:t>fólie a rozpadu struktury článku, nicméně v tomto procesu je třeba řešit přechod některých toxických látek do plynné fáze (chrom, kadmium, arsen, olovo), což navrhovaný postup zcela opomíjí. Po separaci materiálů je také třeba provést čištění leptáním - jde zejména o antireflexní vrstvy na skle, vrstvu fosforu na křemíku, dále stříbro a hliník na elektrických kontaktech. Bez čisticí fáze jsou oddělené materiály těžko použitelné. Také tuto fázi navrhovaný postup neřeší. Výsledek hodnotím jako podprůměrný, jeho využití v praxi nemá pravděpodobně reálný předpoklad uplatnění.“</w:t>
      </w:r>
    </w:p>
    <w:p w14:paraId="0FE58AA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Odůvodnění odvolání proti hodnocení:</w:t>
      </w:r>
    </w:p>
    <w:p w14:paraId="7405562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1. Hodnotitel uvádí, že tímto postupem nelze recyklovat jiné typy panelů než křemíkové, což je pouze domněnka. Postupem obsaženým v předkládaném výsledku lze recyklovat i další uváděné panely. Pokud by se jednalo o panely bez krycího skla, jednalo by se o úsporu jednoho technického kroku. Jediné panely, které takto recyklovat nelze, jsou na organické bázi, ale ty jsou zatím v experimentální fázi vývoje.</w:t>
      </w:r>
    </w:p>
    <w:p w14:paraId="0BC5F69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2. Hodnotitel vznáší otázku, jestli nedochází k dezintegraci křemíkových waferů. Hlavní překážkou pro separaci bez poškození waferu je realita sběru fotovoltaických panelů, které jsou při demontáži a přepravě v drtivé většině ve velmi poškozeném stavu – minimem je popraskané krycí sklo a běžnou praxí jsou zcela deformované celé panely i s hliníkovým rámem. Poznámka hodnotitele, jestli nebyly navrženou dezintegrací porušeny i křehké křemíkové wafery, je tedy zcela bezpředmětná.</w:t>
      </w:r>
    </w:p>
    <w:p w14:paraId="44911D1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3. Hodnotitel uvádí, že je třeba řešit přechod některých toxických látek do plynné fáze (chrom, kadmium, arsen, olovo), což navrhovaný postup zcela opomíjí. Jedná se o domněnku a není tomu tak. Přechod látek do plynného stavu při termickém rozkladu EVA folie také nebyl opomenut a bylo provedeno značné množství analýz pro určení složení těchto “spalin“. Zmiňované toxické látky nebyly při použité teplotě a okolní atmosféře zaznamenány. Byla zaznamenána voda a oxid, ……</w:t>
      </w:r>
    </w:p>
    <w:p w14:paraId="0E153A2C" w14:textId="77777777" w:rsidR="00317816" w:rsidRPr="00C24D02" w:rsidRDefault="00317816" w:rsidP="00317816">
      <w:pPr>
        <w:suppressAutoHyphens w:val="0"/>
        <w:spacing w:after="144" w:line="360" w:lineRule="auto"/>
        <w:jc w:val="both"/>
        <w:rPr>
          <w:rFonts w:asciiTheme="minorHAnsi" w:eastAsia="Calibri" w:hAnsiTheme="minorHAnsi" w:cstheme="minorHAnsi"/>
        </w:rPr>
      </w:pPr>
      <w:r w:rsidRPr="00C24D02">
        <w:rPr>
          <w:rFonts w:asciiTheme="minorHAnsi" w:eastAsia="Calibri" w:hAnsiTheme="minorHAnsi" w:cstheme="minorHAnsi"/>
          <w:u w:val="single"/>
        </w:rPr>
        <w:t>Stanovisko garanta</w:t>
      </w:r>
      <w:r w:rsidRPr="00C24D02">
        <w:rPr>
          <w:rFonts w:asciiTheme="minorHAnsi" w:eastAsia="Calibri" w:hAnsiTheme="minorHAnsi" w:cstheme="minorHAnsi"/>
        </w:rPr>
        <w:t xml:space="preserve">: Autoři ve své komplexní námitce kritizují hodnotitele i panelistu za to, že své hodnocení staví na nepodložených domněnkách, irelevantních komentářích, atd. Po opětovném prostudování všech materiálů předložených ze strany VUT pro hodnocení tohoto výsledku nelze než konstatovat, že autoři v nich prostě neuvedli dostatek relevantních informací pro žádný z namítaných argumentů. Jinými slovy, pokud hodnotitelé a panelista </w:t>
      </w:r>
      <w:r w:rsidRPr="00C24D02">
        <w:rPr>
          <w:rFonts w:asciiTheme="minorHAnsi" w:eastAsia="Calibri" w:hAnsiTheme="minorHAnsi" w:cstheme="minorHAnsi"/>
        </w:rPr>
        <w:lastRenderedPageBreak/>
        <w:t>konstatují, že technologie není pravděpodobně použitelná pro jiné, než Si fotovoltatické panely, pokud dále konstatují, že není jasné, zda-li dochází k uvolňování toxických plynů, jestli je, nebo není použito leptání, apod., tak je to prostě tím, že tyto informace v popisu výsledku chybí a hodnotitelé i panelista absenci těchto informací vnímají automaticky tak, že je to slabina a důvod k negativnímu hodnocení. Pokud jsou autoři výsledku tak znalí, jak demonstrují v jejich námitkách, tam měli tyto otázky a komentáře dopředu předpokládat a předložit k nim rovnou důslednou analýzu při podání výsledku do hodnocení. Předešli by tak situaci, kdy oni se domnívají, že je ten či onen aspekt přeci známý, ale neuvědomili si, že hodnotitelé se musí striktně držet zaslaných materiálů a informací v nich obsažených.</w:t>
      </w:r>
    </w:p>
    <w:p w14:paraId="5F655C69"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rPr>
      </w:pPr>
      <w:r w:rsidRPr="00C24D02">
        <w:rPr>
          <w:rFonts w:asciiTheme="minorHAnsi" w:eastAsia="Calibri" w:hAnsiTheme="minorHAnsi" w:cstheme="minorHAnsi"/>
          <w:b/>
          <w:u w:val="single"/>
        </w:rPr>
        <w:t xml:space="preserve">Vyjádření Odborného panelu: </w:t>
      </w:r>
      <w:r w:rsidRPr="00C24D02">
        <w:rPr>
          <w:rFonts w:asciiTheme="minorHAnsi" w:eastAsia="Calibri" w:hAnsiTheme="minorHAnsi" w:cstheme="minorHAnsi"/>
        </w:rPr>
        <w:t>Panel navrhuje námitce nevyhovět a ponechat původní hodnocení stupněm 5.</w:t>
      </w:r>
    </w:p>
    <w:p w14:paraId="4E970B59"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4641DC11" w14:textId="345922B7" w:rsidR="00317816" w:rsidRPr="003C778F" w:rsidRDefault="00317816" w:rsidP="003C778F">
      <w:pPr>
        <w:suppressAutoHyphens w:val="0"/>
        <w:spacing w:line="360" w:lineRule="auto"/>
        <w:jc w:val="both"/>
        <w:rPr>
          <w:rFonts w:asciiTheme="minorHAnsi" w:eastAsia="Aptos" w:hAnsiTheme="minorHAnsi" w:cstheme="minorHAnsi"/>
        </w:rPr>
      </w:pPr>
      <w:r w:rsidRPr="00C24D02">
        <w:rPr>
          <w:rFonts w:asciiTheme="minorHAnsi" w:eastAsia="Aptos" w:hAnsiTheme="minorHAnsi" w:cstheme="minorHAnsi"/>
          <w:b/>
          <w:bCs/>
          <w:u w:val="single"/>
        </w:rPr>
        <w:t>Závěr KHV</w:t>
      </w:r>
      <w:r w:rsidRPr="00C24D02">
        <w:rPr>
          <w:rFonts w:asciiTheme="minorHAnsi" w:eastAsia="Aptos" w:hAnsiTheme="minorHAnsi" w:cstheme="minorHAnsi"/>
          <w:b/>
          <w:bCs/>
        </w:rPr>
        <w:t xml:space="preserve">: </w:t>
      </w:r>
      <w:r w:rsidRPr="00C24D02">
        <w:rPr>
          <w:rFonts w:asciiTheme="minorHAnsi" w:eastAsia="Aptos" w:hAnsiTheme="minorHAnsi" w:cstheme="minorHAnsi"/>
        </w:rPr>
        <w:t xml:space="preserve">KHV nesouhlasí se závěry Odborného panelu a navrhuje hodnocení upravit na stupeň 4. Stupeň hodnocení neodpovídá kvalitativní stupnici podle kritéria Společenské relevance a platné metodice hodnocení. Výsledek vykazuje prokazatelné uplatnění v praxi a je výsledkem spolupráce s průmyslovým partnerem (podán užitný vzor), přiznává ekonomický i ekologický přínos.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33D4869C" w14:textId="77777777" w:rsidTr="003D1A59">
        <w:tc>
          <w:tcPr>
            <w:tcW w:w="2405" w:type="dxa"/>
          </w:tcPr>
          <w:p w14:paraId="67A44ED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5727A8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Vysoké učení technické v Brně - Fakulta informačních technologií</w:t>
            </w:r>
          </w:p>
        </w:tc>
      </w:tr>
      <w:tr w:rsidR="00317816" w:rsidRPr="00C24D02" w14:paraId="5EA7D8B6" w14:textId="77777777" w:rsidTr="003D1A59">
        <w:tc>
          <w:tcPr>
            <w:tcW w:w="2405" w:type="dxa"/>
          </w:tcPr>
          <w:p w14:paraId="7B3CCD2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6978A7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192535531</w:t>
            </w:r>
          </w:p>
        </w:tc>
      </w:tr>
      <w:tr w:rsidR="00317816" w:rsidRPr="00C24D02" w14:paraId="450855A2" w14:textId="77777777" w:rsidTr="003D1A59">
        <w:trPr>
          <w:trHeight w:val="741"/>
        </w:trPr>
        <w:tc>
          <w:tcPr>
            <w:tcW w:w="2405" w:type="dxa"/>
          </w:tcPr>
          <w:p w14:paraId="6831A40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36E2ED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On the educational impact of ChatGPT: Is Artificial Intelligence ready to obtain a University degree?</w:t>
            </w:r>
          </w:p>
        </w:tc>
      </w:tr>
      <w:tr w:rsidR="00317816" w:rsidRPr="00C24D02" w14:paraId="44B3A2C2" w14:textId="77777777" w:rsidTr="003D1A59">
        <w:tc>
          <w:tcPr>
            <w:tcW w:w="2405" w:type="dxa"/>
          </w:tcPr>
          <w:p w14:paraId="6BCA0C0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413C632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1.2.</w:t>
            </w:r>
          </w:p>
        </w:tc>
      </w:tr>
      <w:tr w:rsidR="00317816" w:rsidRPr="00C24D02" w14:paraId="1F0B92F6" w14:textId="77777777" w:rsidTr="003D1A59">
        <w:tc>
          <w:tcPr>
            <w:tcW w:w="2405" w:type="dxa"/>
          </w:tcPr>
          <w:p w14:paraId="3A77C80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042002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51200CD7" w14:textId="77777777" w:rsidTr="003D1A59">
        <w:tc>
          <w:tcPr>
            <w:tcW w:w="2405" w:type="dxa"/>
          </w:tcPr>
          <w:p w14:paraId="1A1197D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10"/>
            </w:r>
            <w:r w:rsidRPr="00C24D02">
              <w:rPr>
                <w:rFonts w:asciiTheme="minorHAnsi" w:eastAsia="Calibri" w:hAnsiTheme="minorHAnsi" w:cstheme="minorHAnsi"/>
              </w:rPr>
              <w:t>)</w:t>
            </w:r>
          </w:p>
        </w:tc>
        <w:tc>
          <w:tcPr>
            <w:tcW w:w="6378" w:type="dxa"/>
          </w:tcPr>
          <w:p w14:paraId="2FFB275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3/4/-/4</w:t>
            </w:r>
          </w:p>
        </w:tc>
      </w:tr>
      <w:tr w:rsidR="00317816" w:rsidRPr="00C24D02" w14:paraId="34347AB8" w14:textId="77777777" w:rsidTr="003D1A59">
        <w:tc>
          <w:tcPr>
            <w:tcW w:w="2405" w:type="dxa"/>
          </w:tcPr>
          <w:p w14:paraId="559979B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Návrh rozhodnutí Rady</w:t>
            </w:r>
          </w:p>
        </w:tc>
        <w:tc>
          <w:tcPr>
            <w:tcW w:w="6378" w:type="dxa"/>
          </w:tcPr>
          <w:p w14:paraId="7BDEFA47"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5C54A14F" w14:textId="77777777" w:rsidR="00317816" w:rsidRPr="00C24D02" w:rsidRDefault="00317816" w:rsidP="00317816">
      <w:pPr>
        <w:spacing w:after="144" w:line="360" w:lineRule="auto"/>
        <w:rPr>
          <w:rFonts w:asciiTheme="minorHAnsi" w:hAnsiTheme="minorHAnsi" w:cstheme="minorHAnsi"/>
        </w:rPr>
      </w:pPr>
    </w:p>
    <w:p w14:paraId="35BD43F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Proti procesu hodnocení</w:t>
      </w:r>
    </w:p>
    <w:p w14:paraId="38E4522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A2FDD8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Hodnocení výsledku neodpovídá platné metodice pro hodnocení výsledků M1 a platné hodnotící stupnici podle schválené Metodiky 17+. Hodnotitel 2 a panelista nevzali v úvahu poskytnuté a doložené argumenty. Vlastní interpretace doložených údajů hodnotiteli je subjektivní, neodpovídá doloženým údajům ani stavu poznání v době uplatnění (vzniku) výsledku. V důsledku subjektivního zkreslení a přehlížení doložené argumentace proto výsledné hodnocení výsledků neodpovídá platné metodice.</w:t>
      </w:r>
    </w:p>
    <w:p w14:paraId="09529BE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Odůvodnění:</w:t>
      </w:r>
    </w:p>
    <w:p w14:paraId="41348DB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Posouzení výsledku zejména druhým hodnotitelem je vysoce subjektivní a odtržené od stavu poznání aktuálního v době uplatnění výsledku. Článek je zaměřený do oblasti Artificial Intelligence, která v současné době prodělává raketový vývoj. Subjektivní hodnocení výstupu mimo kontext jeho vzniku a mimo posouzení jeho dopadu není v souladu s obecnými principy hodnocení ani platnou metodikou.</w:t>
      </w:r>
    </w:p>
    <w:p w14:paraId="182C9AC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Vysoká aktuálnost výsledku v době svého vzniku je mimo jiné doložena bibliometrickými ukazateli, které jsou v rámci oboru vysoce nadprůměrné. Dopad výsledku (společenská relevance) je rovněž jednoznačně prokázán a doložen.</w:t>
      </w:r>
    </w:p>
    <w:p w14:paraId="023B08E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Jednou z námitek je „zastaralost“ GPT-3.5 a malá zobecnitelnost závěrů. Studie řeší fenomén (AI-asistence a integrita hodnocení), nikoli jediný model. Testování na GPT-3.5 poskytlo konzervativní odhad dopadů; novější modely (GPT-4 a další) efekt pouze prohloubily, nikoli popřely. To potvrzuje rozsáhlá následná literatura 2023-2025, která hlásí růst rizik u zkoušek i seminárních prací a nutnost změn v hodnocení. Závěry jsou proto časově robustní: pokud již "slabší" model prokázal významný narušující vliv, silnější generace pouze zvyšují velikost efektu.</w:t>
      </w:r>
    </w:p>
    <w:p w14:paraId="2DD177B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Hlavním přínosem článku, který prokazuje vysokou společenskou relevanci v rámci daného oboru, je kvantifikace reálného dopadu na různé formy hodnocení (zkoušky, programovací </w:t>
      </w:r>
      <w:r w:rsidRPr="00C24D02">
        <w:rPr>
          <w:rFonts w:asciiTheme="minorHAnsi" w:hAnsiTheme="minorHAnsi" w:cstheme="minorHAnsi"/>
        </w:rPr>
        <w:lastRenderedPageBreak/>
        <w:t>úkoly, seminární práce) v konkrétní doméně (počítačová bezpečnost). Publikované výsledky využily i ostatní organizace, stejně tak jsou v současné době doporučovány i přehledovými studiemi: redesign úloh směrem k autenticitě a "process-based" hodnocení, orální/praktické verifikace, řízené využití AI s transparentní deklarací, změny zadání (iterace, reflexe, obhajoba) a úprava kurikula s ohledem na AI-asistenci. Tyto kroky se shodují s pozdějšími “best-practice” přehledy.</w:t>
      </w:r>
    </w:p>
    <w:p w14:paraId="57EB3DC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Přínos spočívá i v rychlé reakci vědy na společenskou změnu. Tato práce poskytla v rané fázi "tvrdá data" pro rozhodování fakult/kurikul o úpravách hodnocení v éře generativní AI. Tím, že byla zveřejněna i jako preprint, byla data k dispozici do 4 měsíců od zveřejnění modelu. Bibliometrické ukazatele jsou nadprůměrné v rámci oboru i právě kvůli aktuálnosti tématu, což se jeví v rozporu s tvrzením o "nízké společenské relevanci", které lze výše uvedenými fakty snadno vyvrátit.</w:t>
      </w:r>
    </w:p>
    <w:p w14:paraId="76AD6A3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Další z námitek poukazuje na nízký ranking konference. Při podání článku autoři cílili na konferenci s historicky vysokým hodnocením (v době podání článku bylo hodnocení CORE A); změna na CORE B proběhla krátce před finální publikací článku (cca měsíc). Hodnotit kvalitu výsledku zpětně optikou pozdější administrativní změny je, podle našeho názoru, zavádějící. Dále si dovolujeme poukázat na možný nesoulad v aplikaci kritérií napříč posuzovanými pracemi: u některých článků (hodnocených výsledků) s nižšími bibliometrickými metrikami byly tyto výstupy hodnoceny jako excelentní a vedly ke známce 1. </w:t>
      </w:r>
    </w:p>
    <w:p w14:paraId="75D0639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Hodnocení výsledku tak neodpovídá doloženým údajům ani stavu poznání v době uplatnění (vzniku) výsledku. </w:t>
      </w:r>
      <w:r w:rsidRPr="00C24D02">
        <w:rPr>
          <w:rFonts w:asciiTheme="minorHAnsi" w:hAnsiTheme="minorHAnsi" w:cstheme="minorHAnsi"/>
        </w:rPr>
        <w:t xml:space="preserve">V důsledku subjektivního zkreslení a přehlížení doložené argumentace proto výsledné hodnocení výsledků neodpovídá platné metodice. </w:t>
      </w:r>
      <w:r w:rsidRPr="00C24D02">
        <w:rPr>
          <w:rFonts w:asciiTheme="minorHAnsi" w:hAnsiTheme="minorHAnsi" w:cstheme="minorHAnsi"/>
          <w:b/>
          <w:bCs/>
        </w:rPr>
        <w:t>Žádáme proto o revizi hodnocení výsledku.</w:t>
      </w:r>
    </w:p>
    <w:p w14:paraId="5688BCA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Odborný panel setrvává na svém původním rozhodnutí ohledně hodnocení výsledku. Námitka uvádí vysoce nadprůměrné bibliometrické údaje výsledku. Hodnocení to však uznává, jen upozorňuje na nutnost hodnocení bibliometrických údajů v nejen v kontextu oboru, ale také zaměření výsledku (článku). Námitka sama uvádí, že v daném zaměření (AI) probíhá raketový růst. To ovšem dobře ilustruje, že výsledek mezinárodní úrovně nutně musí mít v hodnocenám kritériu (společenská relevance) velmi výraznou pozici. Navíc je nutno konstatovat, že citační ohlas není možno chápat jako primární měřítko tohoto </w:t>
      </w:r>
      <w:r w:rsidRPr="00C24D02">
        <w:rPr>
          <w:rFonts w:asciiTheme="minorHAnsi" w:hAnsiTheme="minorHAnsi" w:cstheme="minorHAnsi"/>
        </w:rPr>
        <w:lastRenderedPageBreak/>
        <w:t>kritéria. Dále námitka nesouhlasí s hodnocením aktuálnosti/zastaralosti použitého AI modelu. Poznámku hodnotitele je však nutno chápat ne jako hodnocení obsahu článku, ale doklad toho, jak rychle se obsah výsledku stal/stává neaktuálním, což má na jeho společenskou relevanci zásadní dopad. Hodnocení výsledku je tedy nutno považovat za korektní.</w:t>
      </w:r>
    </w:p>
    <w:p w14:paraId="56BAC3D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55F8C3A9" w14:textId="77777777" w:rsidR="00317816" w:rsidRPr="00C24D02" w:rsidRDefault="00317816" w:rsidP="00317816">
      <w:pPr>
        <w:suppressAutoHyphens w:val="0"/>
        <w:spacing w:before="240" w:after="144" w:line="360" w:lineRule="auto"/>
        <w:jc w:val="both"/>
        <w:rPr>
          <w:rFonts w:asciiTheme="minorHAnsi" w:eastAsia="Calibri" w:hAnsiTheme="minorHAnsi" w:cstheme="minorHAnsi"/>
          <w:b/>
          <w:u w:val="single"/>
        </w:rPr>
      </w:pPr>
      <w:r w:rsidRPr="00C24D02">
        <w:rPr>
          <w:rFonts w:asciiTheme="minorHAnsi" w:eastAsia="Calibri" w:hAnsiTheme="minorHAnsi" w:cstheme="minorHAnsi"/>
          <w:b/>
          <w:u w:val="single"/>
        </w:rPr>
        <w:t>Vyjádření Sekce pro vědu, výzkum a inovace:</w:t>
      </w:r>
      <w:r w:rsidRPr="00C24D02">
        <w:rPr>
          <w:rFonts w:asciiTheme="minorHAnsi" w:eastAsia="Calibri" w:hAnsiTheme="minorHAnsi" w:cstheme="minorHAnsi"/>
          <w:b/>
        </w:rPr>
        <w:t xml:space="preserve"> </w:t>
      </w:r>
      <w:r w:rsidRPr="00C24D02">
        <w:rPr>
          <w:rFonts w:asciiTheme="minorHAnsi" w:eastAsia="Calibri" w:hAnsiTheme="minorHAnsi" w:cstheme="minorHAnsi"/>
          <w:bCs/>
        </w:rPr>
        <w:t>bez vyjádření.</w:t>
      </w:r>
    </w:p>
    <w:p w14:paraId="43770415"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 hodnocení.</w:t>
      </w:r>
    </w:p>
    <w:p w14:paraId="47E483BA" w14:textId="77777777" w:rsidR="00317816" w:rsidRPr="00C24D02" w:rsidRDefault="00317816" w:rsidP="00317816">
      <w:pPr>
        <w:spacing w:before="240" w:after="144" w:line="360" w:lineRule="auto"/>
        <w:jc w:val="both"/>
        <w:rPr>
          <w:rFonts w:asciiTheme="minorHAnsi" w:hAnsiTheme="minorHAnsi" w:cstheme="minorHAnsi"/>
        </w:rPr>
      </w:pP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F7138F2" w14:textId="77777777" w:rsidTr="003D1A59">
        <w:tc>
          <w:tcPr>
            <w:tcW w:w="2405" w:type="dxa"/>
          </w:tcPr>
          <w:p w14:paraId="249E583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9AA905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Vysoké učení technické v Brně - Fakulta elektrotechniky a komunikačních technologií</w:t>
            </w:r>
          </w:p>
        </w:tc>
      </w:tr>
      <w:tr w:rsidR="00317816" w:rsidRPr="00C24D02" w14:paraId="40E2B07B" w14:textId="77777777" w:rsidTr="003D1A59">
        <w:tc>
          <w:tcPr>
            <w:tcW w:w="2405" w:type="dxa"/>
          </w:tcPr>
          <w:p w14:paraId="45A26AB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2E5B1C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 xml:space="preserve">192534925 </w:t>
            </w:r>
          </w:p>
        </w:tc>
      </w:tr>
      <w:tr w:rsidR="00317816" w:rsidRPr="00C24D02" w14:paraId="1E24C1BC" w14:textId="77777777" w:rsidTr="003D1A59">
        <w:trPr>
          <w:trHeight w:val="741"/>
        </w:trPr>
        <w:tc>
          <w:tcPr>
            <w:tcW w:w="2405" w:type="dxa"/>
          </w:tcPr>
          <w:p w14:paraId="5399429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399B840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Citlivý optický vláknový mikrofon</w:t>
            </w:r>
          </w:p>
        </w:tc>
      </w:tr>
      <w:tr w:rsidR="00317816" w:rsidRPr="00C24D02" w14:paraId="1134FCCF" w14:textId="77777777" w:rsidTr="003D1A59">
        <w:tc>
          <w:tcPr>
            <w:tcW w:w="2405" w:type="dxa"/>
          </w:tcPr>
          <w:p w14:paraId="0328FDD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69E47C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w:t>
            </w:r>
          </w:p>
        </w:tc>
      </w:tr>
      <w:tr w:rsidR="00317816" w:rsidRPr="00C24D02" w14:paraId="2C8C056F" w14:textId="77777777" w:rsidTr="003D1A59">
        <w:tc>
          <w:tcPr>
            <w:tcW w:w="2405" w:type="dxa"/>
          </w:tcPr>
          <w:p w14:paraId="38D3554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1E7C95D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02A59A66" w14:textId="77777777" w:rsidTr="003D1A59">
        <w:tc>
          <w:tcPr>
            <w:tcW w:w="2405" w:type="dxa"/>
          </w:tcPr>
          <w:p w14:paraId="12B947F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11"/>
            </w:r>
            <w:r w:rsidRPr="00C24D02">
              <w:rPr>
                <w:rFonts w:asciiTheme="minorHAnsi" w:eastAsia="Calibri" w:hAnsiTheme="minorHAnsi" w:cstheme="minorHAnsi"/>
              </w:rPr>
              <w:t>)</w:t>
            </w:r>
          </w:p>
        </w:tc>
        <w:tc>
          <w:tcPr>
            <w:tcW w:w="6378" w:type="dxa"/>
          </w:tcPr>
          <w:p w14:paraId="690BBED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3/3/-/3</w:t>
            </w:r>
          </w:p>
        </w:tc>
      </w:tr>
      <w:tr w:rsidR="00317816" w:rsidRPr="00C24D02" w14:paraId="608F4B58" w14:textId="77777777" w:rsidTr="003D1A59">
        <w:tc>
          <w:tcPr>
            <w:tcW w:w="2405" w:type="dxa"/>
          </w:tcPr>
          <w:p w14:paraId="2620EF6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88E2787"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744A5EFC" w14:textId="77777777" w:rsidR="00317816" w:rsidRPr="00C24D02" w:rsidRDefault="00317816" w:rsidP="00317816">
      <w:pPr>
        <w:spacing w:after="144" w:line="360" w:lineRule="auto"/>
        <w:rPr>
          <w:rFonts w:asciiTheme="minorHAnsi" w:hAnsiTheme="minorHAnsi" w:cstheme="minorHAnsi"/>
        </w:rPr>
      </w:pPr>
    </w:p>
    <w:p w14:paraId="642AD897"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Proti procesu hodnocení</w:t>
      </w:r>
    </w:p>
    <w:p w14:paraId="5AC3FA3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B61DB6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 xml:space="preserve">Hodnocení výsledku neodpovídá platné metodice pro hodnocení výsledků M1 a platné hodnotící stupnici podle schválené Metodiky 17+. Hodnotitelé nevzali v úvahu poskytnuté a doložené argumenty. Vlastní interpretace doložených údajů hodnotiteli je subjektivní a neodpovídá doloženým údajům. Hodnocení panelistou není vůbec odůvodněno. V důsledku subjektivního zkreslení a přehlížení doložené argumentace proto výsledné hodnocení výsledků neodpovídá platné metodice. </w:t>
      </w:r>
    </w:p>
    <w:p w14:paraId="642AE1B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Odůvodnění: </w:t>
      </w:r>
    </w:p>
    <w:p w14:paraId="5C215D5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Vykazován je výsledek typu G „Citlivý optický vláknový mikrofon“ a to v kategorii společenská relevance. U výsledku byl jednoznačně doložen a prokázán mezinárodní ekonomický dopad realizovanou dodávkou do Nizozemska (MINBZK NL). V přiložených podkladech je současně doložen reálný předpoklad širšího uplatnění na více zahraničních trzích: nachází se v nich opakované žádosti o demonstrační ukázky a cenové nabídky z několika zemí, dále kontinuální spolupráce s MINBZK NL a potvrzený zájem dalších významných organizací, například BSI (Německo) a NCI NATO. </w:t>
      </w:r>
      <w:r w:rsidRPr="00C24D02">
        <w:rPr>
          <w:rFonts w:asciiTheme="minorHAnsi" w:hAnsiTheme="minorHAnsi" w:cstheme="minorHAnsi"/>
          <w:b/>
          <w:bCs/>
        </w:rPr>
        <w:t>Tato fakta naplňují kritéria pro hodnocení výsledku stupněm 1</w:t>
      </w:r>
      <w:r w:rsidRPr="00C24D02">
        <w:rPr>
          <w:rFonts w:asciiTheme="minorHAnsi" w:hAnsiTheme="minorHAnsi" w:cstheme="minorHAnsi"/>
        </w:rPr>
        <w:t xml:space="preserve">, která podle metodiky vyžadují právě reálný předpoklad širokého uplatnění na více zahraničních trzích. </w:t>
      </w:r>
      <w:r w:rsidRPr="00C24D02">
        <w:rPr>
          <w:rFonts w:asciiTheme="minorHAnsi" w:hAnsiTheme="minorHAnsi" w:cstheme="minorHAnsi"/>
          <w:b/>
          <w:bCs/>
        </w:rPr>
        <w:t xml:space="preserve">Vysoká společenská relevance v oblasti kyberbezpečnosti a ochrany kritické infrastruktury byla navíc výslovně uznána samotnými hodnotiteli. </w:t>
      </w:r>
      <w:r w:rsidRPr="00C24D02">
        <w:rPr>
          <w:rFonts w:asciiTheme="minorHAnsi" w:hAnsiTheme="minorHAnsi" w:cstheme="minorHAnsi"/>
        </w:rPr>
        <w:t xml:space="preserve">Funkční demonstrátor, systematické ověřování a trvalý zájem bezpečnostních složek v ČR i v zahraničí potvrzují jasný potenciál dalšího šíření a praktického nasazení. </w:t>
      </w:r>
    </w:p>
    <w:p w14:paraId="070730E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K námitce týkající se „stáří podkladů“ ze strany hodnotitele 1 (viz “... žádosti o cenové nabídky jsou již několik let staré (z let 2020 až 2023)...”) je nutno konstatovat, že nominace proběhla v souladu s pravidly a v mezičase došlo k evropské komercializaci, zatímco relevance výsledku dále roste. Světová relevance však byla již doložena při samotném návrhu výsledku. Metodika každoročního monitoringu klade primárně důraz na posouzení potenciálu, nikoli pouze na ex post kvantifikaci již nastalých dopadů. Tento potenciál je v tomto případě podložen konkrétní evidencí zájmu, demonstračních aktivit a obchodních jednání. Pro ilustraci je možno uvést, že objednávka z MINBZK NL pochází z roku 2021 a prokazatelný zájem BSI je z roku 2023 – nejde tedy o jednorázové či historicky uzavřené epizody, ale o kontinuální vývoj s mezinárodním přesahem.</w:t>
      </w:r>
    </w:p>
    <w:p w14:paraId="39EC7E7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 xml:space="preserve">K námitce, že „jedna zahraniční platba nestačí“ ze strany hodnotitele 1 (viz “... Objednali si Nizozemci následně i něco víc?... Domnívám se, že ani jedna potvrzená platba 9 450 EUR z Nizozemska...příslib mezinárodního dopadu považovat nelze.”), podotýkáme, že stupnice pro společenskou relevanci vymezuje stupeň 2 již jako vynikající úroveň s reálným předpokladem uplatnění na zahraničním trhu. Vykázaný výsledek tento požadavek převyšuje, protože zahraniční uplatnění již prokazatelně proběhlo. Požadavek stupně 1 na reálný předpoklad širokého uplatnění na více zahraničních trzích je současně naplněn dokumentovanou multi-country poptávkou (např. BSI a NCI NATO) i dlouhodobými vazbami na instituce v různých státech. </w:t>
      </w:r>
    </w:p>
    <w:p w14:paraId="40BB6B1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K poznámce “...výsledek není formálně vykázán coby výsledek bezpečnostního či obranného výzkumu...” ze strany hodnotitele 1 je nutno říci, že absence či nejednoznačnost bezpečnostního zařazení v SKV by neměla vést k penalizaci hodnocení, zejména pokud je bezpečnostní povaha výsledku jasně popsána v textu a zároveň zvyšuje jeho společenskou relevanci.</w:t>
      </w:r>
    </w:p>
    <w:p w14:paraId="7107905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Rozporujeme také dílčí hodnocení hodnotitele č. 2. Také se vyjadřuje ke stáří výsledků (viz “... jedná o výsledek 6 let starý...”), kdy na tomto místě opět konstatujeme, že nominace proběhla v souladu s pravidly. Tato kritická poznámka hodnotitele je tak zcela irelevantní. </w:t>
      </w:r>
    </w:p>
    <w:p w14:paraId="4A385A2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Hodnotitel č. 2 dále konstatuje, že “[z] předložené dokumentace ... vyplývá, že ...realizován byl ...do zahraničí,” což je stejná rétorika, jako v případě hodnotitele č. 1. Třebaže v době nominace byl doložen pouze jeden úspěšný prodej do zahraničí, hodnotitel zcela ignoroval zhodnocení potenciálu dalšího uplatnění na zahraničních institucích, který byl doložen dopisy zájmu. </w:t>
      </w:r>
    </w:p>
    <w:p w14:paraId="6EE7653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Sám Panelista se k výsledku nijak nevyjadřuje. Text hodnocení je prázdné pole, pouze přejímá známku a uděluje hodnocení finálním stupněm 3. </w:t>
      </w:r>
    </w:p>
    <w:p w14:paraId="3E22705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Z výše uvedeného je zřejmé, že hodnocení výsledku neodpovídá platné metodice a platné hodnotící stupnici. Hodnotitelé nevzali v úvahu poskytnuté a doložené argumenty. Vlastní interpretace doložených údajů hodnotiteli je subjektivní a neodpovídá doloženým údajům. Hodnocení panelistou není vůbec odůvodněno. Protože hodnocení výsledku neproběhlo v souladu s metodikou, žádáme o revizi hodnocení výsledku.</w:t>
      </w:r>
    </w:p>
    <w:p w14:paraId="4A3C2AD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lastRenderedPageBreak/>
        <w:t>Stanovisko garanta</w:t>
      </w:r>
      <w:r w:rsidRPr="00C24D02">
        <w:rPr>
          <w:rFonts w:asciiTheme="minorHAnsi" w:hAnsiTheme="minorHAnsi" w:cstheme="minorHAnsi"/>
        </w:rPr>
        <w:t>: Oba Hodnotitelé i Panelista posoudili znovu předložený výsledek a konstatují, že výsledek připouští hodnocení mezi známkou 2 a 3. Oba Hodnotitelé však dále trvají na hodnocení známkou 3, a to z důvodu malého mezinárodního využití výsledku (ve shodě s metodickou příručkou). V případě shody obou hodnotitelů Pamnelista není povinen předložit vlastní hodnocení výsledku.</w:t>
      </w:r>
    </w:p>
    <w:p w14:paraId="014482A1"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3.</w:t>
      </w:r>
    </w:p>
    <w:p w14:paraId="3C540C04" w14:textId="77777777" w:rsidR="00317816" w:rsidRPr="00C24D02" w:rsidRDefault="00317816" w:rsidP="00317816">
      <w:pPr>
        <w:spacing w:before="240" w:after="144" w:line="360" w:lineRule="auto"/>
        <w:jc w:val="both"/>
        <w:rPr>
          <w:rFonts w:asciiTheme="minorHAnsi" w:hAnsiTheme="minorHAnsi" w:cstheme="minorHAnsi"/>
          <w:b/>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bez vyjádření</w:t>
      </w:r>
    </w:p>
    <w:p w14:paraId="7F5DD1C3" w14:textId="309BA39F" w:rsidR="00317816" w:rsidRPr="00C24D02" w:rsidRDefault="00317816" w:rsidP="00317816">
      <w:pPr>
        <w:spacing w:before="240" w:after="144" w:line="360" w:lineRule="auto"/>
        <w:jc w:val="both"/>
        <w:rPr>
          <w:rFonts w:asciiTheme="minorHAnsi" w:hAnsiTheme="minorHAnsi" w:cstheme="minorHAnsi"/>
        </w:rPr>
      </w:pPr>
      <w:bookmarkStart w:id="34" w:name="_Hlk220615315"/>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ponecháním původního hodnocení, které bylo uděleno podle stávajících pravidel Metodiky 2017+. </w:t>
      </w:r>
      <w:bookmarkEnd w:id="34"/>
    </w:p>
    <w:p w14:paraId="5DE0E20D" w14:textId="77777777" w:rsidR="00317816" w:rsidRPr="00C24D02" w:rsidRDefault="00317816">
      <w:pPr>
        <w:suppressAutoHyphens w:val="0"/>
        <w:spacing w:after="160" w:line="259" w:lineRule="auto"/>
        <w:rPr>
          <w:rFonts w:asciiTheme="minorHAnsi" w:hAnsiTheme="minorHAnsi" w:cstheme="minorHAnsi"/>
        </w:rPr>
      </w:pPr>
      <w:r w:rsidRPr="00C24D02">
        <w:rPr>
          <w:rFonts w:asciiTheme="minorHAnsi" w:hAnsiTheme="minorHAnsi" w:cstheme="minorHAnsi"/>
        </w:rPr>
        <w:br w:type="page"/>
      </w:r>
    </w:p>
    <w:p w14:paraId="5F5DF104" w14:textId="7D00D3F7" w:rsidR="00317816" w:rsidRPr="00C24D02" w:rsidRDefault="00317816" w:rsidP="00704870">
      <w:pPr>
        <w:pStyle w:val="Nadpis1"/>
        <w:numPr>
          <w:ilvl w:val="0"/>
          <w:numId w:val="1"/>
        </w:numPr>
        <w:spacing w:before="480" w:after="480" w:line="360" w:lineRule="auto"/>
        <w:ind w:left="714" w:hanging="357"/>
        <w:rPr>
          <w:rFonts w:asciiTheme="minorHAnsi" w:hAnsiTheme="minorHAnsi" w:cstheme="minorHAnsi"/>
          <w:sz w:val="22"/>
          <w:szCs w:val="22"/>
        </w:rPr>
      </w:pPr>
      <w:bookmarkStart w:id="35" w:name="_Toc221799819"/>
      <w:r w:rsidRPr="00C24D02">
        <w:rPr>
          <w:rFonts w:asciiTheme="minorHAnsi" w:hAnsiTheme="minorHAnsi" w:cstheme="minorHAnsi"/>
          <w:sz w:val="22"/>
          <w:szCs w:val="22"/>
        </w:rPr>
        <w:lastRenderedPageBreak/>
        <w:t>Chybné zařazení</w:t>
      </w:r>
      <w:bookmarkEnd w:id="35"/>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046CC173" w14:textId="77777777" w:rsidTr="003D1A59">
        <w:tc>
          <w:tcPr>
            <w:tcW w:w="2405" w:type="dxa"/>
          </w:tcPr>
          <w:p w14:paraId="31F4187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C5C852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Fyziologický ústav</w:t>
            </w:r>
          </w:p>
        </w:tc>
      </w:tr>
      <w:tr w:rsidR="00317816" w:rsidRPr="00C24D02" w14:paraId="6377B937" w14:textId="77777777" w:rsidTr="003D1A59">
        <w:tc>
          <w:tcPr>
            <w:tcW w:w="2405" w:type="dxa"/>
          </w:tcPr>
          <w:p w14:paraId="5B46068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876751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192505021</w:t>
            </w:r>
          </w:p>
        </w:tc>
      </w:tr>
      <w:tr w:rsidR="00317816" w:rsidRPr="00C24D02" w14:paraId="25072C4C" w14:textId="77777777" w:rsidTr="003D1A59">
        <w:trPr>
          <w:trHeight w:val="741"/>
        </w:trPr>
        <w:tc>
          <w:tcPr>
            <w:tcW w:w="2405" w:type="dxa"/>
          </w:tcPr>
          <w:p w14:paraId="0309717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C5286B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Human bone marrow stromal cells: the impact of anticoagulants on stem cell properties</w:t>
            </w:r>
          </w:p>
        </w:tc>
      </w:tr>
      <w:tr w:rsidR="00317816" w:rsidRPr="00C24D02" w14:paraId="13E5151B" w14:textId="77777777" w:rsidTr="003D1A59">
        <w:tc>
          <w:tcPr>
            <w:tcW w:w="2405" w:type="dxa"/>
          </w:tcPr>
          <w:p w14:paraId="1F3B15D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8C25FE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317816" w:rsidRPr="00C24D02" w14:paraId="2ECC73E9" w14:textId="77777777" w:rsidTr="003D1A59">
        <w:tc>
          <w:tcPr>
            <w:tcW w:w="2405" w:type="dxa"/>
          </w:tcPr>
          <w:p w14:paraId="5667628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573BDE4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3C5F8BDB" w14:textId="77777777" w:rsidTr="003D1A59">
        <w:tc>
          <w:tcPr>
            <w:tcW w:w="2405" w:type="dxa"/>
          </w:tcPr>
          <w:p w14:paraId="74878B1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12"/>
            </w:r>
            <w:r w:rsidRPr="00C24D02">
              <w:rPr>
                <w:rFonts w:asciiTheme="minorHAnsi" w:eastAsia="Calibri" w:hAnsiTheme="minorHAnsi" w:cstheme="minorHAnsi"/>
              </w:rPr>
              <w:t>)</w:t>
            </w:r>
          </w:p>
        </w:tc>
        <w:tc>
          <w:tcPr>
            <w:tcW w:w="6378" w:type="dxa"/>
          </w:tcPr>
          <w:p w14:paraId="0EF0865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w:t>
            </w:r>
            <w:r w:rsidRPr="00C24D02">
              <w:rPr>
                <w:rFonts w:asciiTheme="minorHAnsi" w:eastAsia="Calibri" w:hAnsiTheme="minorHAnsi" w:cstheme="minorHAnsi"/>
                <w:b/>
                <w:bCs/>
              </w:rPr>
              <w:t>5</w:t>
            </w:r>
          </w:p>
        </w:tc>
      </w:tr>
      <w:tr w:rsidR="00317816" w:rsidRPr="00C24D02" w14:paraId="2CDC2879" w14:textId="77777777" w:rsidTr="003D1A59">
        <w:tc>
          <w:tcPr>
            <w:tcW w:w="2405" w:type="dxa"/>
          </w:tcPr>
          <w:p w14:paraId="388523E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66BE47FA" w14:textId="77777777" w:rsidR="00317816" w:rsidRPr="00C24D02" w:rsidRDefault="00317816" w:rsidP="003D1A59">
            <w:pPr>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p>
        </w:tc>
      </w:tr>
    </w:tbl>
    <w:p w14:paraId="15097DF4" w14:textId="77777777" w:rsidR="00317816" w:rsidRPr="00C24D02" w:rsidRDefault="00317816" w:rsidP="00317816">
      <w:pPr>
        <w:spacing w:after="144" w:line="360" w:lineRule="auto"/>
        <w:rPr>
          <w:rFonts w:asciiTheme="minorHAnsi" w:hAnsiTheme="minorHAnsi" w:cstheme="minorHAnsi"/>
        </w:rPr>
      </w:pPr>
    </w:p>
    <w:p w14:paraId="2831C4DF"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Zařazení do nesprávného panelu</w:t>
      </w:r>
    </w:p>
    <w:p w14:paraId="185A609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E37BEC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Důvodem technického hodnocení bylo zařazení do oboru 10601 - Cell biology, se kterým panelista garant nesouhlasí. </w:t>
      </w:r>
    </w:p>
    <w:p w14:paraId="1B9E5D7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Do hodnocení tento výsledek přihlašoval za poskytovatele AV pouze Fyziologický ústav. Výsledek vznikl ve spolupráci s Biotechnologickým ústavem AV ČR a klinickými pracovišti – Všeobecná fakultní nemocnice, 1 .LF UK, Fakultní nemocnice Královské Vinohrady. Klinická pracoviště, výsledek do Hodnocení nepřihlašovala – jejich zařazení do oboru je v databázi RIV 10605 - Developmental biology – tedy také v oblasti biologických věd. </w:t>
      </w:r>
    </w:p>
    <w:p w14:paraId="2574662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Jelikož panelista garant navrhuje přesun do oboru medicínských věd, žádáme, aby byl výsledek standardně zhodnocen v oboru </w:t>
      </w:r>
      <w:r w:rsidRPr="00C24D02">
        <w:rPr>
          <w:rFonts w:asciiTheme="minorHAnsi" w:hAnsiTheme="minorHAnsi" w:cstheme="minorHAnsi"/>
          <w:b/>
          <w:bCs/>
        </w:rPr>
        <w:t>3. Medical and Health Sciences 3.2 Clinical medicine Endocrinology and metabolism (including diabetes, hormones)</w:t>
      </w:r>
      <w:r w:rsidRPr="00C24D02">
        <w:rPr>
          <w:rFonts w:asciiTheme="minorHAnsi" w:hAnsiTheme="minorHAnsi" w:cstheme="minorHAnsi"/>
        </w:rPr>
        <w:t>. Tento obor je druhý nejbližší studované tématice.</w:t>
      </w:r>
    </w:p>
    <w:p w14:paraId="7D801B1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lastRenderedPageBreak/>
        <w:t>Stanovisko garanta</w:t>
      </w:r>
      <w:r w:rsidRPr="00C24D02">
        <w:rPr>
          <w:rFonts w:asciiTheme="minorHAnsi" w:hAnsiTheme="minorHAnsi" w:cstheme="minorHAnsi"/>
        </w:rPr>
        <w:t>: Panel i nadále doporučuje hodnotit publikaci v oboru 3 - Medical and Health Sciences. Nejedná se o výstup v přírodních vědách.</w:t>
      </w:r>
    </w:p>
    <w:p w14:paraId="369D412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49D8C3A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
        </w:rPr>
        <w:t xml:space="preserve"> </w:t>
      </w:r>
      <w:r w:rsidRPr="00C24D02">
        <w:rPr>
          <w:rFonts w:asciiTheme="minorHAnsi" w:hAnsiTheme="minorHAnsi" w:cstheme="minorHAnsi"/>
          <w:bCs/>
        </w:rPr>
        <w:t>Na rozdíl od M25+ nebyla v M17+ ani v příslušných doplňkových materiálech stanovena metodologie přihlašování mezioborových výsledků. Přes deklarovanou podporu takovýchto výsledků VO neměly při jejich přihlašování žádné vodítko. Sekce navrhuje z procedurálních důvodů přehodnocení výsledku.</w:t>
      </w:r>
    </w:p>
    <w:p w14:paraId="05ACB2D1" w14:textId="4D84B422"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nesouhlasí s vyjádřením panelu. Přestože je výstup zaměřen na medicínu, využívá biologické metody. Jde jednoznačně o mezioborový výsledek. Panelista v 1.6 mohl sáhnout po hodnotitelích zaměřených na medicínské obory a výsledek zhodnotit. KHV navrhuje výsledek vrátit do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FED73DF" w14:textId="77777777" w:rsidTr="003D1A59">
        <w:tc>
          <w:tcPr>
            <w:tcW w:w="2405" w:type="dxa"/>
          </w:tcPr>
          <w:p w14:paraId="4D549D7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22AD30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Masarykova univerzita</w:t>
            </w:r>
          </w:p>
        </w:tc>
      </w:tr>
      <w:tr w:rsidR="00317816" w:rsidRPr="00C24D02" w14:paraId="6D1E6497" w14:textId="77777777" w:rsidTr="003D1A59">
        <w:tc>
          <w:tcPr>
            <w:tcW w:w="2405" w:type="dxa"/>
          </w:tcPr>
          <w:p w14:paraId="5383402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D40E1A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192414791</w:t>
            </w:r>
          </w:p>
        </w:tc>
      </w:tr>
      <w:tr w:rsidR="00317816" w:rsidRPr="00C24D02" w14:paraId="400429C3" w14:textId="77777777" w:rsidTr="003D1A59">
        <w:trPr>
          <w:trHeight w:val="741"/>
        </w:trPr>
        <w:tc>
          <w:tcPr>
            <w:tcW w:w="2405" w:type="dxa"/>
          </w:tcPr>
          <w:p w14:paraId="4205DE4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62D398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Závěrečná výzkumná zpráva projektu TITSMZP707 - Vliv technického zasněžování na biologické složky přírodního prostředí na území Krkonošského národního parku a jeho ochranného pásma</w:t>
            </w:r>
          </w:p>
        </w:tc>
      </w:tr>
      <w:tr w:rsidR="00317816" w:rsidRPr="00C24D02" w14:paraId="25C70FA3" w14:textId="77777777" w:rsidTr="003D1A59">
        <w:tc>
          <w:tcPr>
            <w:tcW w:w="2405" w:type="dxa"/>
          </w:tcPr>
          <w:p w14:paraId="7AC2E94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227CB8B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317816" w:rsidRPr="00C24D02" w14:paraId="71E97B75" w14:textId="77777777" w:rsidTr="003D1A59">
        <w:tc>
          <w:tcPr>
            <w:tcW w:w="2405" w:type="dxa"/>
          </w:tcPr>
          <w:p w14:paraId="60AF9AC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BD2D2B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01A15FDB" w14:textId="77777777" w:rsidTr="003D1A59">
        <w:tc>
          <w:tcPr>
            <w:tcW w:w="2405" w:type="dxa"/>
          </w:tcPr>
          <w:p w14:paraId="2532295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13"/>
            </w:r>
            <w:r w:rsidRPr="00C24D02">
              <w:rPr>
                <w:rFonts w:asciiTheme="minorHAnsi" w:eastAsia="Calibri" w:hAnsiTheme="minorHAnsi" w:cstheme="minorHAnsi"/>
              </w:rPr>
              <w:t>)</w:t>
            </w:r>
          </w:p>
        </w:tc>
        <w:tc>
          <w:tcPr>
            <w:tcW w:w="6378" w:type="dxa"/>
          </w:tcPr>
          <w:p w14:paraId="1068055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w:t>
            </w:r>
          </w:p>
        </w:tc>
      </w:tr>
      <w:tr w:rsidR="00317816" w:rsidRPr="00C24D02" w14:paraId="39B72868" w14:textId="77777777" w:rsidTr="003D1A59">
        <w:tc>
          <w:tcPr>
            <w:tcW w:w="2405" w:type="dxa"/>
          </w:tcPr>
          <w:p w14:paraId="26E6FD1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68865D4"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5.</w:t>
            </w:r>
          </w:p>
        </w:tc>
      </w:tr>
    </w:tbl>
    <w:p w14:paraId="4295EA52" w14:textId="77777777" w:rsidR="00317816" w:rsidRPr="00C24D02" w:rsidRDefault="00317816" w:rsidP="00317816">
      <w:pPr>
        <w:spacing w:after="144" w:line="360" w:lineRule="auto"/>
        <w:rPr>
          <w:rFonts w:asciiTheme="minorHAnsi" w:hAnsiTheme="minorHAnsi" w:cstheme="minorHAnsi"/>
        </w:rPr>
      </w:pPr>
    </w:p>
    <w:p w14:paraId="0C4B275B"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lastRenderedPageBreak/>
        <w:t>Námitka: Nezhodnocení výsledku</w:t>
      </w:r>
    </w:p>
    <w:p w14:paraId="3A31803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80F78C6"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Žádáme o vrácení do hodnocení kvůli zjevnému pochybení panelisty. Komentář nedává smysl. Výsledek je předložen ve společenské relevanci. Panelista usoudil, že nepřináší nový objev nebo metodologii (kritéria spíše pro přínos k poznání) a nevyjádřil se k vůbec k aspektu společenské relevance a následně (pravděpodobně) ani nezaslal výsledek k posouzení hodnotitelů. Alarmující je zejména argument, že „je problém, že se nejedná o knihu, kapitolu, či článek.“ Není důvod, proč by měl být v principu v Modulu 1 problém vykázat </w:t>
      </w:r>
      <w:r w:rsidRPr="00C24D02">
        <w:rPr>
          <w:rFonts w:asciiTheme="minorHAnsi" w:hAnsiTheme="minorHAnsi" w:cstheme="minorHAnsi"/>
          <w:b/>
          <w:bCs/>
        </w:rPr>
        <w:t>jakýkoli</w:t>
      </w:r>
      <w:r w:rsidRPr="00C24D02">
        <w:rPr>
          <w:rFonts w:asciiTheme="minorHAnsi" w:hAnsiTheme="minorHAnsi" w:cstheme="minorHAnsi"/>
        </w:rPr>
        <w:t xml:space="preserve"> výsledek, který naplňuje kritéria přínosu k poznání nebo společenské relevance. Kvůli nevyváženosti a chybnému úsudku žádáme o vrácení do hodnocení. </w:t>
      </w:r>
    </w:p>
    <w:p w14:paraId="2498F46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Panel i nadále trvá na tom, že se jedná o technickou zprávu, která nepatří do oboru "1 - Natural Sciences, Biological Sciences". Z toho důvodu je správné hodnocení známkou 5, nikoliv N. Jako doplňující informaci panel uvádí, že z hlediska společenské relevance je nejasné, kdo je cílovou přírodovědnou skupinou této zprávy. Z textu je zřejmé, že cílovou skupinou je státní správa a nikoliv široká biologická veřejnost. Forma publikování výsledků v podobě zprávy je také nevhodná, protože se k ní široká biologická veřejnost nedostane. Vhodnější by bylo zveřejnit výsledky v podobě publikace v uznávaném periodiku, v monografii nebo knize.</w:t>
      </w:r>
    </w:p>
    <w:p w14:paraId="1AE527A1"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změnit hodnocení na stupeň 5.</w:t>
      </w:r>
    </w:p>
    <w:p w14:paraId="642E09E7" w14:textId="77777777" w:rsidR="00317816" w:rsidRPr="00C24D02" w:rsidRDefault="00317816" w:rsidP="00317816">
      <w:pPr>
        <w:spacing w:before="240" w:after="144" w:line="360" w:lineRule="auto"/>
        <w:jc w:val="both"/>
        <w:rPr>
          <w:rFonts w:asciiTheme="minorHAnsi" w:hAnsiTheme="minorHAnsi" w:cstheme="minorHAnsi"/>
          <w:bCs/>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
        </w:rPr>
        <w:t xml:space="preserve"> </w:t>
      </w:r>
      <w:r w:rsidRPr="00C24D02">
        <w:rPr>
          <w:rFonts w:asciiTheme="minorHAnsi" w:hAnsiTheme="minorHAnsi" w:cstheme="minorHAnsi"/>
          <w:bCs/>
        </w:rPr>
        <w:t>bez vyjádření.</w:t>
      </w:r>
    </w:p>
    <w:p w14:paraId="553EC885"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vyjádřením Odborného panelu námitce nevyhovět a ponecháním původního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3591AB39" w14:textId="77777777" w:rsidTr="003D1A59">
        <w:tc>
          <w:tcPr>
            <w:tcW w:w="2405" w:type="dxa"/>
          </w:tcPr>
          <w:p w14:paraId="649F7BD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9" w:type="dxa"/>
          </w:tcPr>
          <w:p w14:paraId="555EEC0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Univerzita Karlova -Centrum pro otázky životního prostředí</w:t>
            </w:r>
          </w:p>
        </w:tc>
      </w:tr>
      <w:tr w:rsidR="00317816" w:rsidRPr="00C24D02" w14:paraId="1CD4EF71" w14:textId="77777777" w:rsidTr="003D1A59">
        <w:tc>
          <w:tcPr>
            <w:tcW w:w="2405" w:type="dxa"/>
          </w:tcPr>
          <w:p w14:paraId="30628C0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9" w:type="dxa"/>
          </w:tcPr>
          <w:p w14:paraId="4FA234E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192171402</w:t>
            </w:r>
          </w:p>
        </w:tc>
      </w:tr>
      <w:tr w:rsidR="00317816" w:rsidRPr="00C24D02" w14:paraId="6B76160A" w14:textId="77777777" w:rsidTr="003D1A59">
        <w:trPr>
          <w:trHeight w:val="741"/>
        </w:trPr>
        <w:tc>
          <w:tcPr>
            <w:tcW w:w="2405" w:type="dxa"/>
          </w:tcPr>
          <w:p w14:paraId="2FF2944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9" w:type="dxa"/>
          </w:tcPr>
          <w:p w14:paraId="082E18B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Green consumption does not make people cheat: Three attempts to replicate moral licensing effect due to pro-environmental behavior</w:t>
            </w:r>
          </w:p>
        </w:tc>
      </w:tr>
      <w:tr w:rsidR="00317816" w:rsidRPr="00C24D02" w14:paraId="6BB0CE5D" w14:textId="77777777" w:rsidTr="003D1A59">
        <w:tc>
          <w:tcPr>
            <w:tcW w:w="2405" w:type="dxa"/>
          </w:tcPr>
          <w:p w14:paraId="2C38725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FORD</w:t>
            </w:r>
          </w:p>
        </w:tc>
        <w:tc>
          <w:tcPr>
            <w:tcW w:w="6379" w:type="dxa"/>
          </w:tcPr>
          <w:p w14:paraId="0C88805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1.5.</w:t>
            </w:r>
          </w:p>
        </w:tc>
      </w:tr>
      <w:tr w:rsidR="00317816" w:rsidRPr="00C24D02" w14:paraId="6FAC2E1E" w14:textId="77777777" w:rsidTr="003D1A59">
        <w:tc>
          <w:tcPr>
            <w:tcW w:w="2405" w:type="dxa"/>
          </w:tcPr>
          <w:p w14:paraId="78E9C58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9" w:type="dxa"/>
          </w:tcPr>
          <w:p w14:paraId="3B4C0D6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21ABA25D" w14:textId="77777777" w:rsidTr="003D1A59">
        <w:tc>
          <w:tcPr>
            <w:tcW w:w="2405" w:type="dxa"/>
          </w:tcPr>
          <w:p w14:paraId="3B722A1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14"/>
            </w:r>
            <w:r w:rsidRPr="00C24D02">
              <w:rPr>
                <w:rFonts w:asciiTheme="minorHAnsi" w:eastAsia="Calibri" w:hAnsiTheme="minorHAnsi" w:cstheme="minorHAnsi"/>
              </w:rPr>
              <w:t>)</w:t>
            </w:r>
          </w:p>
        </w:tc>
        <w:tc>
          <w:tcPr>
            <w:tcW w:w="6379" w:type="dxa"/>
          </w:tcPr>
          <w:p w14:paraId="25C56B2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w:t>
            </w:r>
          </w:p>
        </w:tc>
      </w:tr>
      <w:tr w:rsidR="00317816" w:rsidRPr="00C24D02" w14:paraId="6409CAD4" w14:textId="77777777" w:rsidTr="003D1A59">
        <w:tc>
          <w:tcPr>
            <w:tcW w:w="2405" w:type="dxa"/>
          </w:tcPr>
          <w:p w14:paraId="5080874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9" w:type="dxa"/>
          </w:tcPr>
          <w:p w14:paraId="6DD373AE" w14:textId="77777777" w:rsidR="00317816" w:rsidRPr="00C24D02" w:rsidRDefault="00317816" w:rsidP="003D1A59">
            <w:pPr>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p>
        </w:tc>
      </w:tr>
    </w:tbl>
    <w:p w14:paraId="66B70127" w14:textId="77777777" w:rsidR="00317816" w:rsidRPr="00C24D02" w:rsidRDefault="00317816" w:rsidP="00317816">
      <w:pPr>
        <w:spacing w:after="144" w:line="360" w:lineRule="auto"/>
        <w:rPr>
          <w:rFonts w:asciiTheme="minorHAnsi" w:hAnsiTheme="minorHAnsi" w:cstheme="minorHAnsi"/>
        </w:rPr>
      </w:pPr>
    </w:p>
    <w:p w14:paraId="15B422B7"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 xml:space="preserve">Námitka: Multidisciplinární výsledek </w:t>
      </w:r>
    </w:p>
    <w:p w14:paraId="3AA48F6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61D98B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Předmětný výsledek spadá do oblasti věd o životním prostředí, které se zabývají interakcí přírodních procesů a lidské společnosti a jsou tak ze své podstaty inherentně multidisciplinární. Právě tak předmětný výsledek lze považovat za výrazně multidisciplinární. Jistě lze v tomto případě polemizovat o tom, zda má větší přesah do společenských věd, nicméně se domníváme, že multidisciplinární charakter je nesporný. Vzhledem k tomu, že metodika RVVI žádným způsobem neřeší jak s takovými multidisciplinárními výsledky nakládat, není zde například možnost vybrat více panelů nebo označit výsledek za multidisciplinární, pokládáme tedy hodnocení našeho výsledku bodovou známkou 5 za projev systematického nedostatku stávajícího způsobu hodnocení. V tomto směru bychom se rádi proti tomuto hodnocení odvolali.</w:t>
      </w:r>
    </w:p>
    <w:p w14:paraId="48777BF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Tento náš názor je podpořen i skutečností, že předmětný výsledek byl zveřejněn v prestižním mezinárodním časopise, který je v prvním kvartilu svého oboru Environmental studies, který je ve WOS udáván jako multidisciplinární a zároveň byl během prvních dvou let od svého zveřejnění citován více jak sedmdesátkrát, jedná se tedy o výsledek velmi kladně přijatý mezinárodní odbornou komunitou.</w:t>
      </w:r>
    </w:p>
    <w:p w14:paraId="2ADB9F6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Velmi bychom do budoucna uvítali přehlednější instrukce, jak přistupovat k podobným multidisciplinárním výsledkům.</w:t>
      </w:r>
    </w:p>
    <w:p w14:paraId="467E0E4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lastRenderedPageBreak/>
        <w:t>Stanovisko garanta</w:t>
      </w:r>
      <w:r w:rsidRPr="00C24D02">
        <w:rPr>
          <w:rFonts w:asciiTheme="minorHAnsi" w:hAnsiTheme="minorHAnsi" w:cstheme="minorHAnsi"/>
        </w:rPr>
        <w:t xml:space="preserve">: Panel potvrzuje původní výsledek, kdy se nejedná se o přírodní vědy tedy ani o panel 1.5. I anotace popisuje, že se jedná o článek, který se zabývá teorií týkající se morálního licencování a proenvironmentálního chování a pomocí experimentálního uspořádání dokazuje, že ekologická spotřeba nezhoršuje morální chování. Jedná se tedy o článek z oboru environmentální psychologie, a tedy nespadá do Vědní oblasti: 1. Natural Sciences a oboru (Ford): 1.5 Earth and related environmental sciences. </w:t>
      </w:r>
    </w:p>
    <w:p w14:paraId="6CF58810"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2271AD59" w14:textId="77777777" w:rsidR="00317816" w:rsidRPr="00C24D02" w:rsidRDefault="00317816" w:rsidP="00317816">
      <w:pPr>
        <w:spacing w:before="240" w:after="144" w:line="360" w:lineRule="auto"/>
        <w:jc w:val="both"/>
        <w:rPr>
          <w:rFonts w:asciiTheme="minorHAnsi" w:hAnsiTheme="minorHAnsi" w:cstheme="minorHAnsi"/>
          <w:i/>
          <w:i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bCs/>
        </w:rPr>
        <w:t>Na rozdíl od M25+ nebyla v M17+ ani v příslušných doplňkových materiálech stanovena metodologie přihlašování mezioborových výsledků. Přes deklarovanou podporu takovýchto výsledků VO neměly při jejich přihlašování žádné vodítko. Sekce navrhuje z procedurálních důvodů přehodnocení výsledku.</w:t>
      </w:r>
    </w:p>
    <w:p w14:paraId="5F5AC98E" w14:textId="76FF610D" w:rsidR="00317816" w:rsidRPr="00D054AE" w:rsidRDefault="00317816" w:rsidP="00D054AE">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vyjádřením Sekce pro VVI a navrhuje vrácení výsledku do hodnocení (např. jako multidisciplinární). Vzhledem k zaměření navrhuje směřovat výsledek do hodnocení ve FORD 5.1 – Psychologie. Hodnocení výhradně ve FORD 1.5, kam byl výsledek nominující institucí zařazen, je nicméně nesprávné, jak uvádí ve svém vyjádření i garant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3BE56A6" w14:textId="77777777" w:rsidTr="003D1A59">
        <w:tc>
          <w:tcPr>
            <w:tcW w:w="2405" w:type="dxa"/>
          </w:tcPr>
          <w:p w14:paraId="38F3335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5045F0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Univerzita Karlova - Centrum pro teoretická studia</w:t>
            </w:r>
          </w:p>
        </w:tc>
      </w:tr>
      <w:tr w:rsidR="00317816" w:rsidRPr="00C24D02" w14:paraId="167987D3" w14:textId="77777777" w:rsidTr="003D1A59">
        <w:tc>
          <w:tcPr>
            <w:tcW w:w="2405" w:type="dxa"/>
          </w:tcPr>
          <w:p w14:paraId="680F069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37D3C2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192551323</w:t>
            </w:r>
          </w:p>
        </w:tc>
      </w:tr>
      <w:tr w:rsidR="00317816" w:rsidRPr="00C24D02" w14:paraId="54B14C33" w14:textId="77777777" w:rsidTr="003D1A59">
        <w:trPr>
          <w:trHeight w:val="741"/>
        </w:trPr>
        <w:tc>
          <w:tcPr>
            <w:tcW w:w="2405" w:type="dxa"/>
          </w:tcPr>
          <w:p w14:paraId="4F5C737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8C6261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Markýz de l'Hospital a Analýza nekonečně malých</w:t>
            </w:r>
          </w:p>
        </w:tc>
      </w:tr>
      <w:tr w:rsidR="00317816" w:rsidRPr="00C24D02" w14:paraId="1EBA4AAD" w14:textId="77777777" w:rsidTr="003D1A59">
        <w:tc>
          <w:tcPr>
            <w:tcW w:w="2405" w:type="dxa"/>
          </w:tcPr>
          <w:p w14:paraId="30C531A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80F519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1.1.</w:t>
            </w:r>
          </w:p>
        </w:tc>
      </w:tr>
      <w:tr w:rsidR="00317816" w:rsidRPr="00C24D02" w14:paraId="0151AE16" w14:textId="77777777" w:rsidTr="003D1A59">
        <w:tc>
          <w:tcPr>
            <w:tcW w:w="2405" w:type="dxa"/>
          </w:tcPr>
          <w:p w14:paraId="6BCF9E7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17004B3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1461808A" w14:textId="77777777" w:rsidTr="003D1A59">
        <w:tc>
          <w:tcPr>
            <w:tcW w:w="2405" w:type="dxa"/>
          </w:tcPr>
          <w:p w14:paraId="35902B3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15"/>
            </w:r>
            <w:r w:rsidRPr="00C24D02">
              <w:rPr>
                <w:rFonts w:asciiTheme="minorHAnsi" w:eastAsia="Calibri" w:hAnsiTheme="minorHAnsi" w:cstheme="minorHAnsi"/>
              </w:rPr>
              <w:t>)</w:t>
            </w:r>
          </w:p>
        </w:tc>
        <w:tc>
          <w:tcPr>
            <w:tcW w:w="6378" w:type="dxa"/>
          </w:tcPr>
          <w:p w14:paraId="76D63FF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w:t>
            </w:r>
          </w:p>
        </w:tc>
      </w:tr>
      <w:tr w:rsidR="00317816" w:rsidRPr="00C24D02" w14:paraId="52DA1FD4" w14:textId="77777777" w:rsidTr="003D1A59">
        <w:tc>
          <w:tcPr>
            <w:tcW w:w="2405" w:type="dxa"/>
          </w:tcPr>
          <w:p w14:paraId="7B8CE77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Návrh rozhodnutí Rady</w:t>
            </w:r>
          </w:p>
        </w:tc>
        <w:tc>
          <w:tcPr>
            <w:tcW w:w="6378" w:type="dxa"/>
          </w:tcPr>
          <w:p w14:paraId="67982541" w14:textId="77777777" w:rsidR="00317816" w:rsidRPr="00C24D02" w:rsidRDefault="00317816" w:rsidP="003D1A59">
            <w:pPr>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p>
        </w:tc>
      </w:tr>
    </w:tbl>
    <w:p w14:paraId="1503F377" w14:textId="77777777" w:rsidR="00317816" w:rsidRPr="00C24D02" w:rsidRDefault="00317816" w:rsidP="00317816">
      <w:pPr>
        <w:spacing w:after="144" w:line="360" w:lineRule="auto"/>
        <w:rPr>
          <w:rFonts w:asciiTheme="minorHAnsi" w:hAnsiTheme="minorHAnsi" w:cstheme="minorHAnsi"/>
        </w:rPr>
      </w:pPr>
    </w:p>
    <w:p w14:paraId="539FE1D7"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Výsledek zařazen do nesprávného Fordu</w:t>
      </w:r>
    </w:p>
    <w:p w14:paraId="37A7C52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A425C8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obracíme se na Vás se žádostí o přehodnocení výsledku: Jan Makovský, Markýz de l’Hospital a Analýza nekonečně malých (podrobnosti viz níže), předloženého Univerzitou Karlovou v roce 2024 v rámci modulu 1 Metodiky 17+. Výsledek vůbec nebyl zaslán externím hodnotitelům k posouzení a obdržel známku "(5) Výsledek, který nesplňuje standard národně uznatelné výzkumné práce", s odůvodněním chybného zařazení do panelu matematiky. Tuto chybu částečně uznáváme, sami jsme zvažovali též nominaci do panelu "Humanities and the Arts - Philosophy, Ethics and Religion - Philosophy, History and Philosophy of science and technology". </w:t>
      </w:r>
    </w:p>
    <w:p w14:paraId="1EE4833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Víme, že panelista může udělit nejhorší známku z důvodu chybného zařazení, ale velmi nás to mrzí s ohledem k autorovi, pro kterého je kniha výsledkem dlouhodobého matematicko-filosofického bádání; špatná známka je zde pouze důsledkem pochybení technického rázu a ne zcela jasné kategorizace výsledků zkoumání na hranici vícero disciplín. Domníváme se, že o nadstandardní kvalitě této výzkumné práce svědčí mj. nominace kolegiem rektorky UK na Hlávkovu cenu a udělení Ceny Nakladatelství Academia v roce 2024.</w:t>
      </w:r>
    </w:p>
    <w:p w14:paraId="3F8A4BC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Naše pracoviště je založeno na transdisciplinárním výzkumu a na problémy obtížného zařazování mezioborových výsledků, které jsou jinak obecně velmi žádány, do úzce oborových kategorií narážíme často. Víme, že Metodika25+ se snaží tento problém řešit, avšak dovolujeme si požádat o vstřícnost ještě podle metodiky staré.</w:t>
      </w:r>
    </w:p>
    <w:p w14:paraId="37896AE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Odborný panel setrvává na svém původním rozhodnutí ohledně hodnocení výsledku. Přestože jde o velmi zajímavý výsledek, jak autor sám uvádí ve svém odvolání a připouští, byl výsledek nesprávně zařazen z hlediska oborové klasifikace, a proto nemohl být postoupen k dalšímu hodnocení.</w:t>
      </w:r>
    </w:p>
    <w:p w14:paraId="2DD8064D"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537689A5"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lastRenderedPageBreak/>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bCs/>
        </w:rPr>
        <w:t>Na rozdíl od M25+ nebyla v M17+ ani v příslušných doplňkových materiálech stanovena metodologie přihlašování mezioborových výsledků. Přes deklarovanou podporu takovýchto výsledků VO neměly při jejich přihlašování žádné vodítko. Sekce navrhuje z procedurálních důvodů přehodnocení výsledku.</w:t>
      </w:r>
    </w:p>
    <w:p w14:paraId="4DC8831B" w14:textId="00626092"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rPr>
        <w:t>: KHV souhlasí s vyjádřením Sekce pro VVI a navrhuje vrácení výsledku do hodnocení. Vzhledem k povaze a multidisciplinárnímu charakteru výsledku jej navrhuje kromě Fordu 1.1 směřovat do hodnocení také v Odborném panelu 6, pravděpodobně ve FORD 6.1 – Historie a archeologie. Stávající zařazení výsledku výhradně do FORD 1.1 je omezující, jak zdůrazňuje i garant. Nicméně tento výsledek přináší poznatky primárně z historie matematiky, tudíž by se k němu měl bezesporu vyjádřit i panelista z FORD 1.1 Matematika.</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D0B35C4" w14:textId="77777777" w:rsidTr="003D1A59">
        <w:tc>
          <w:tcPr>
            <w:tcW w:w="2405" w:type="dxa"/>
          </w:tcPr>
          <w:p w14:paraId="205A6E9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850564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INFORMATIKY AV ČR</w:t>
            </w:r>
          </w:p>
        </w:tc>
      </w:tr>
      <w:tr w:rsidR="00317816" w:rsidRPr="00C24D02" w14:paraId="78662045" w14:textId="77777777" w:rsidTr="003D1A59">
        <w:tc>
          <w:tcPr>
            <w:tcW w:w="2405" w:type="dxa"/>
          </w:tcPr>
          <w:p w14:paraId="421A74B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BFCB2D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192502082</w:t>
            </w:r>
          </w:p>
        </w:tc>
      </w:tr>
      <w:tr w:rsidR="00317816" w:rsidRPr="00C24D02" w14:paraId="2B9F56B4" w14:textId="77777777" w:rsidTr="003D1A59">
        <w:trPr>
          <w:trHeight w:val="741"/>
        </w:trPr>
        <w:tc>
          <w:tcPr>
            <w:tcW w:w="2405" w:type="dxa"/>
          </w:tcPr>
          <w:p w14:paraId="00F0F76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3750A38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Computational Aspects of Psychometric Methods With R</w:t>
            </w:r>
          </w:p>
        </w:tc>
      </w:tr>
      <w:tr w:rsidR="00317816" w:rsidRPr="00C24D02" w14:paraId="47703256" w14:textId="77777777" w:rsidTr="003D1A59">
        <w:tc>
          <w:tcPr>
            <w:tcW w:w="2405" w:type="dxa"/>
          </w:tcPr>
          <w:p w14:paraId="1ACE0DB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DF0BC2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1.1</w:t>
            </w:r>
          </w:p>
        </w:tc>
      </w:tr>
      <w:tr w:rsidR="00317816" w:rsidRPr="00C24D02" w14:paraId="45A9C7CE" w14:textId="77777777" w:rsidTr="003D1A59">
        <w:tc>
          <w:tcPr>
            <w:tcW w:w="2405" w:type="dxa"/>
          </w:tcPr>
          <w:p w14:paraId="3647F06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0DD524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6426840E" w14:textId="77777777" w:rsidTr="003D1A59">
        <w:tc>
          <w:tcPr>
            <w:tcW w:w="2405" w:type="dxa"/>
          </w:tcPr>
          <w:p w14:paraId="1D63002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16"/>
            </w:r>
            <w:r w:rsidRPr="00C24D02">
              <w:rPr>
                <w:rFonts w:asciiTheme="minorHAnsi" w:eastAsia="Calibri" w:hAnsiTheme="minorHAnsi" w:cstheme="minorHAnsi"/>
              </w:rPr>
              <w:t>)</w:t>
            </w:r>
          </w:p>
        </w:tc>
        <w:tc>
          <w:tcPr>
            <w:tcW w:w="6378" w:type="dxa"/>
          </w:tcPr>
          <w:p w14:paraId="7A09C70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w:t>
            </w:r>
          </w:p>
        </w:tc>
      </w:tr>
      <w:tr w:rsidR="00317816" w:rsidRPr="00C24D02" w14:paraId="4EF040E9" w14:textId="77777777" w:rsidTr="003D1A59">
        <w:tc>
          <w:tcPr>
            <w:tcW w:w="2405" w:type="dxa"/>
          </w:tcPr>
          <w:p w14:paraId="34A505C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9DC2E7D" w14:textId="77777777" w:rsidR="00317816" w:rsidRPr="00C24D02" w:rsidRDefault="00317816" w:rsidP="003D1A59">
            <w:pPr>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p>
        </w:tc>
      </w:tr>
    </w:tbl>
    <w:p w14:paraId="71F6F9C4" w14:textId="77777777" w:rsidR="00317816" w:rsidRPr="00C24D02" w:rsidRDefault="00317816" w:rsidP="00317816">
      <w:pPr>
        <w:spacing w:after="144" w:line="360" w:lineRule="auto"/>
        <w:rPr>
          <w:rFonts w:asciiTheme="minorHAnsi" w:hAnsiTheme="minorHAnsi" w:cstheme="minorHAnsi"/>
        </w:rPr>
      </w:pPr>
    </w:p>
    <w:p w14:paraId="2AD8CD37"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Vysoká kvalita výsledku</w:t>
      </w:r>
    </w:p>
    <w:p w14:paraId="5A4577F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61744E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Nesouhlasíme s tvrzením panelisty, že kniha „nepřináší žádné nové metody nebo matematické poznatky vědecko-výzkumného charakteru“. Publikace Computational Aspects of Psychometric Methods: With R (Martinková &amp; Hladká, 2023) představuje vyústění dlouhodobého výzkumu autorek a obsahuje jejich původní metodologické příspěvky zejména </w:t>
      </w:r>
      <w:r w:rsidRPr="00C24D02">
        <w:rPr>
          <w:rFonts w:asciiTheme="minorHAnsi" w:hAnsiTheme="minorHAnsi" w:cstheme="minorHAnsi"/>
        </w:rPr>
        <w:lastRenderedPageBreak/>
        <w:t xml:space="preserve">v oblasti modelování latentních proměnných, reliability a chyby měření, odhadu parametrů a statistického testování hypotéz, které jsou v monografii zasazeny do širšího kontextu jiných metod. Tyto příspěvky zahrnují nové výpočetní postupy, simulační studie a teoretické důkazy asymptotických vlastností, které byly publikovány v mezinárodních prestižních časopisech (Q1, D1 v matematických a statistických oborech, viz Příloha 1) a mají citačně doložený mezinárodní ohlas. </w:t>
      </w:r>
    </w:p>
    <w:p w14:paraId="35BAF80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Excelentní až špičkový charakter výsledku byl potvrzen i v rámci jiných hodnocení: kniha byla vysoce oceněna v Modulu 1 hodnocení AV ČR (v rámci stejného oboru FORD) a je výstupem grantu GAČR 21-03658S, který byl hodnocen jako excelentní. Hodnocení panelisty zcela opomíjí tuto vědeckou přidanou hodnotu a neodpovídá skutečnému dopadu výsledku. Vedle přínosu k poznání má výsledek současně špičkovou společenskou relevanci s dopadem na oblasti testování znalostí, psychologického testování a měření v lékařských vědách doložitelnou přes 170.000 stažení v knize prezentovaných softwarových balíčků autorek s uživateli z více než 100 zemí.</w:t>
      </w:r>
    </w:p>
    <w:p w14:paraId="60CB1C6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Procesní odůvodnění</w:t>
      </w:r>
    </w:p>
    <w:p w14:paraId="6B0CB9A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O významu interdisciplinárních výsledků se vedly intenzivní diskuse a RVVI i KHV mnohokrát deklarovaly zájem je adekvátně hodnotit. Způsob přihlašování tohoto typu výsledků však nebyl v minulém kole hodnocení (na rozdíl od současného kola) nijak explicitně specifikován. V současnosti se vyznačují mezioborové výsledky zaškrtávacím políčkem, po kterém je vyžadováno zdůvodnění jejich interdisciplinarity. V minulém kole se o interdisciplinárních výsledcích nezmiňovaly ani doplňkové materiály (Příručka, Výzva, …), termín “interdisciplinární” nebo “mezioborový” se v nich vůbec nevyskytuje. Z těchto důvodů nebylo zřejmé, jakým způsobem mezioborovost deklarovat. Ve zdůvodnění výsledku nebyl druhý obor uveden explicitně, ale v textu je několikrát výslovně zmíněno, že překládaný výsledek má zásadní přesah do psychologie, pedagogiky a dalších oborů.</w:t>
      </w:r>
    </w:p>
    <w:p w14:paraId="623A7A7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Domníváme se, že z těchto důvodů (nejasnost zadávání interdisciplinárních výsledků a deklarovaná vstřícnost vůči jejich hodnocení), měl hodnotitel výsledek diskutovat s panelistou příslušného oboru IČO 67985807 DIČ CZ67985807 bankovní spojení: Raiffeisen bank, č. ú.: 7915438002/5500 nebo si přímo vyžádat hodnocení od hodnotitele z příslušného oboru, obě </w:t>
      </w:r>
      <w:r w:rsidRPr="00C24D02">
        <w:rPr>
          <w:rFonts w:asciiTheme="minorHAnsi" w:hAnsiTheme="minorHAnsi" w:cstheme="minorHAnsi"/>
        </w:rPr>
        <w:lastRenderedPageBreak/>
        <w:t>tyto možnosti jsou z hlediska Metodiky, resp. doplňujících předpisů možné a z hlediska hodnocení interdisciplinárních výsledků také žádoucí.</w:t>
      </w:r>
    </w:p>
    <w:p w14:paraId="7879999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Žádáme proto o revizi hodnocení z následujících důvodů:</w:t>
      </w:r>
    </w:p>
    <w:p w14:paraId="6C0759E7" w14:textId="77777777" w:rsidR="00317816" w:rsidRPr="00C24D02" w:rsidRDefault="00317816" w:rsidP="00317816">
      <w:pPr>
        <w:spacing w:after="144" w:line="360" w:lineRule="auto"/>
        <w:ind w:left="567" w:hanging="425"/>
        <w:jc w:val="both"/>
        <w:rPr>
          <w:rFonts w:asciiTheme="minorHAnsi" w:hAnsiTheme="minorHAnsi" w:cstheme="minorHAnsi"/>
        </w:rPr>
      </w:pPr>
      <w:r w:rsidRPr="00C24D02">
        <w:rPr>
          <w:rFonts w:asciiTheme="minorHAnsi" w:hAnsiTheme="minorHAnsi" w:cstheme="minorHAnsi"/>
        </w:rPr>
        <w:t>1. Věcný – nesprávné zhodnocení vědeckého přínosu, přestože výsledek jednoznačně splňuje kritéria přínosu k poznání v oboru Matematika na vynikající až špičkové mezinárodní úrovni.</w:t>
      </w:r>
    </w:p>
    <w:p w14:paraId="7110D78B" w14:textId="77777777" w:rsidR="00317816" w:rsidRPr="00C24D02" w:rsidRDefault="00317816" w:rsidP="00317816">
      <w:pPr>
        <w:spacing w:after="144" w:line="360" w:lineRule="auto"/>
        <w:ind w:left="567" w:hanging="425"/>
        <w:jc w:val="both"/>
        <w:rPr>
          <w:rFonts w:asciiTheme="minorHAnsi" w:hAnsiTheme="minorHAnsi" w:cstheme="minorHAnsi"/>
        </w:rPr>
      </w:pPr>
      <w:r w:rsidRPr="00C24D02">
        <w:rPr>
          <w:rFonts w:asciiTheme="minorHAnsi" w:hAnsiTheme="minorHAnsi" w:cstheme="minorHAnsi"/>
        </w:rPr>
        <w:t>2. Procesní – Vzhledem k tomu, že přihlašování interdisciplinárních výsledků nebylo v předchozím hodnocení dostatečně specifikováno, žádáme o standardní zhodnocení výsledku s ohledem na jeho interdisciplinární charakter.</w:t>
      </w:r>
    </w:p>
    <w:p w14:paraId="2E29ED9A" w14:textId="77777777" w:rsidR="00317816" w:rsidRPr="00C24D02" w:rsidRDefault="00317816" w:rsidP="00317816">
      <w:pPr>
        <w:spacing w:after="144" w:line="360" w:lineRule="auto"/>
        <w:ind w:left="567" w:hanging="425"/>
        <w:jc w:val="both"/>
        <w:rPr>
          <w:rFonts w:asciiTheme="minorHAnsi" w:hAnsiTheme="minorHAnsi" w:cstheme="minorHAnsi"/>
        </w:rPr>
      </w:pPr>
      <w:r w:rsidRPr="00C24D02">
        <w:rPr>
          <w:rFonts w:asciiTheme="minorHAnsi" w:hAnsiTheme="minorHAnsi" w:cstheme="minorHAnsi"/>
        </w:rPr>
        <w:t>3. Doplňkově upozorňujeme na širší problém hodnocení interdisciplinárních výsledků, jejichž význam je zásadní pro rozvoj vědy, bývá však v současném systému podceňován.</w:t>
      </w:r>
    </w:p>
    <w:p w14:paraId="198CFB6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Odborný panel setrvává na svém původním rozhodnutí ohledně hodnocení výsledku. Přestože jde o velmi zajímavý výsledek mezioborového charakteru, nepřináší nové matematické poznatky či metody; kniha prezentuje existující statistické a psychometrické postupy. Z těchto důvodů se námitky uvedené v odvolání zamítají takto: (1) Věcná námitka – zamítnuta. Předložený výsledek nepředstavuje originální matematické výsledky nebo metody, ale shrnuje a aplikuje již známé postupy, (2) Procesní námitka – zamítnuta. Ačkoli interdisciplinarita není explicitně definována, tento případ není hraniční; výsledek byl jednoznačně nesprávně oborově zařazen, (3) Doplňková námitka – zamítnuta. Uvedené skutečnosti neodůvodňují zařazení výsledku do oboru 1.1 Mathematics.</w:t>
      </w:r>
    </w:p>
    <w:p w14:paraId="50953259"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06B96650"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 xml:space="preserve">Garant se ve svém posudku nezbývá argumenty námitky, pouze konstatuje, že trvá na svém původním tvrzení (např. „tento případ není hraniční; výsledek byl jednoznačně nesprávně oborově zařazen,“ z jakého důvodu?) Vypořádání je z procesního hlediska nedostatečné. </w:t>
      </w:r>
      <w:r w:rsidRPr="00C24D02">
        <w:rPr>
          <w:rFonts w:asciiTheme="minorHAnsi" w:hAnsiTheme="minorHAnsi" w:cstheme="minorHAnsi"/>
          <w:bCs/>
        </w:rPr>
        <w:t>Na rozdíl od M25+ nebyla v M17+ ani v příslušných doplňkových materiálech stanovena metodologie přihlašování mezioborových výsledků. Přes deklarovanou podporu takovýchto výsledků VO neměly při jejich přihlašování žádné vodítko. Sekce navrhuje z procedurálních důvodů přehodnocení výsledku.</w:t>
      </w:r>
    </w:p>
    <w:p w14:paraId="6051D7B5" w14:textId="591F7FD4"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lastRenderedPageBreak/>
        <w:t>Závěr KHV</w:t>
      </w:r>
      <w:r w:rsidRPr="00C24D02">
        <w:rPr>
          <w:rFonts w:asciiTheme="minorHAnsi" w:hAnsiTheme="minorHAnsi" w:cstheme="minorHAnsi"/>
          <w:b/>
          <w:bCs/>
        </w:rPr>
        <w:t xml:space="preserve">: </w:t>
      </w:r>
      <w:r w:rsidRPr="00C24D02">
        <w:rPr>
          <w:rFonts w:asciiTheme="minorHAnsi" w:hAnsiTheme="minorHAnsi" w:cstheme="minorHAnsi"/>
        </w:rPr>
        <w:t>KHV nesouhlasí s vyjádřením panelu a navrhuje výsledek vrátit do hodnocení. Z hlediska obsahu se jedná o aplikaci matematických přístupů v sociálních vědách. Jde o mezioborový výsledek a panelista mohl při výběru hodnotitelů tuto skutečnost zohlednit. KHV navrhuje výsledek vrátit do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BCB1694" w14:textId="77777777" w:rsidTr="003D1A59">
        <w:tc>
          <w:tcPr>
            <w:tcW w:w="2405" w:type="dxa"/>
          </w:tcPr>
          <w:p w14:paraId="3ECD1F4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E36EA6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Vysoké učení technické v Brně - Fakulta výtvarných umění</w:t>
            </w:r>
          </w:p>
        </w:tc>
      </w:tr>
      <w:tr w:rsidR="00317816" w:rsidRPr="00C24D02" w14:paraId="24C9E538" w14:textId="77777777" w:rsidTr="003D1A59">
        <w:tc>
          <w:tcPr>
            <w:tcW w:w="2405" w:type="dxa"/>
          </w:tcPr>
          <w:p w14:paraId="392E2F9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3BE394A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192535785</w:t>
            </w:r>
          </w:p>
        </w:tc>
      </w:tr>
      <w:tr w:rsidR="00317816" w:rsidRPr="00C24D02" w14:paraId="29C22C7A" w14:textId="77777777" w:rsidTr="003D1A59">
        <w:trPr>
          <w:trHeight w:val="741"/>
        </w:trPr>
        <w:tc>
          <w:tcPr>
            <w:tcW w:w="2405" w:type="dxa"/>
          </w:tcPr>
          <w:p w14:paraId="706B4B1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F2BAE1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Getting Angry with Endocrine-Disrupting Chemicals</w:t>
            </w:r>
          </w:p>
        </w:tc>
      </w:tr>
      <w:tr w:rsidR="00317816" w:rsidRPr="00C24D02" w14:paraId="06E06E9E" w14:textId="77777777" w:rsidTr="003D1A59">
        <w:tc>
          <w:tcPr>
            <w:tcW w:w="2405" w:type="dxa"/>
          </w:tcPr>
          <w:p w14:paraId="19311DC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C507D3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6.5.</w:t>
            </w:r>
          </w:p>
        </w:tc>
      </w:tr>
      <w:tr w:rsidR="00317816" w:rsidRPr="00C24D02" w14:paraId="40D9AE94" w14:textId="77777777" w:rsidTr="003D1A59">
        <w:tc>
          <w:tcPr>
            <w:tcW w:w="2405" w:type="dxa"/>
          </w:tcPr>
          <w:p w14:paraId="6B00496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50C385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376A77B4" w14:textId="77777777" w:rsidTr="003D1A59">
        <w:tc>
          <w:tcPr>
            <w:tcW w:w="2405" w:type="dxa"/>
          </w:tcPr>
          <w:p w14:paraId="7A0B493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17"/>
            </w:r>
            <w:r w:rsidRPr="00C24D02">
              <w:rPr>
                <w:rFonts w:asciiTheme="minorHAnsi" w:eastAsia="Calibri" w:hAnsiTheme="minorHAnsi" w:cstheme="minorHAnsi"/>
              </w:rPr>
              <w:t>)</w:t>
            </w:r>
          </w:p>
        </w:tc>
        <w:tc>
          <w:tcPr>
            <w:tcW w:w="6378" w:type="dxa"/>
          </w:tcPr>
          <w:p w14:paraId="1E04C0F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5/5/-/5</w:t>
            </w:r>
          </w:p>
        </w:tc>
      </w:tr>
      <w:tr w:rsidR="00317816" w:rsidRPr="00C24D02" w14:paraId="2E92A434" w14:textId="77777777" w:rsidTr="003D1A59">
        <w:tc>
          <w:tcPr>
            <w:tcW w:w="2405" w:type="dxa"/>
          </w:tcPr>
          <w:p w14:paraId="0A7EF6E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3D3C753" w14:textId="77777777" w:rsidR="00317816" w:rsidRPr="00C24D02" w:rsidRDefault="00317816" w:rsidP="003D1A59">
            <w:pPr>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p>
        </w:tc>
      </w:tr>
    </w:tbl>
    <w:p w14:paraId="4AB22BB1" w14:textId="77777777" w:rsidR="00317816" w:rsidRPr="00C24D02" w:rsidRDefault="00317816" w:rsidP="00317816">
      <w:pPr>
        <w:spacing w:after="144" w:line="360" w:lineRule="auto"/>
        <w:rPr>
          <w:rFonts w:asciiTheme="minorHAnsi" w:hAnsiTheme="minorHAnsi" w:cstheme="minorHAnsi"/>
        </w:rPr>
      </w:pPr>
    </w:p>
    <w:p w14:paraId="3043061C"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Proti procesu hodnocení</w:t>
      </w:r>
    </w:p>
    <w:p w14:paraId="164E2DB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03CEBF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Výsledek nebyl hodnocen odborníky z příslušné disciplíny. Oba recenzenti sami ve svých posudcích deklarují, že přistupují k posouzení z perspektivy přírodních věd, resp. psychologie, a zároveň konstatují, že z tohoto hlediska je výsledek obtížně hodnotitelný. Hodnocení výsledku odborníky z jiných oborů (a z perspektivy jiných oborů), než do kterého byl výsledek přihlášen, je v zásadním rozporu s metodikou hodnocení (M17+). Požadujeme zneplatnění tohoto hodnocení a revizi hodnocení výsledku podle platné metodiky. </w:t>
      </w:r>
    </w:p>
    <w:p w14:paraId="4C357A2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Odůvodnění: </w:t>
      </w:r>
    </w:p>
    <w:p w14:paraId="3A9C546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Výsledek náleží do oblasti FORD 6 Humanities and the Arts. Takto byl správně vykázaný, oboru odpovídá i zaměření časopisu, v němž byla studie publikována. Konkrétně se vztahuje k </w:t>
      </w:r>
      <w:r w:rsidRPr="00C24D02">
        <w:rPr>
          <w:rFonts w:asciiTheme="minorHAnsi" w:hAnsiTheme="minorHAnsi" w:cstheme="minorHAnsi"/>
        </w:rPr>
        <w:lastRenderedPageBreak/>
        <w:t xml:space="preserve">interdisciplinárnímu </w:t>
      </w:r>
      <w:r w:rsidRPr="00C24D02">
        <w:rPr>
          <w:rFonts w:asciiTheme="minorHAnsi" w:hAnsiTheme="minorHAnsi" w:cstheme="minorHAnsi"/>
          <w:b/>
          <w:bCs/>
        </w:rPr>
        <w:t xml:space="preserve">uměleckému výzkumu, </w:t>
      </w:r>
      <w:r w:rsidRPr="00C24D02">
        <w:rPr>
          <w:rFonts w:asciiTheme="minorHAnsi" w:hAnsiTheme="minorHAnsi" w:cstheme="minorHAnsi"/>
        </w:rPr>
        <w:t xml:space="preserve">tedy oblasti, která pracuje s jinými metodologickými východisky a kritérii excelence než přírodovědné a psychologické disciplíny v rámci kterých bylo hodnoceno. </w:t>
      </w:r>
      <w:r w:rsidRPr="00C24D02">
        <w:rPr>
          <w:rFonts w:asciiTheme="minorHAnsi" w:hAnsiTheme="minorHAnsi" w:cstheme="minorHAnsi"/>
          <w:b/>
          <w:bCs/>
        </w:rPr>
        <w:t xml:space="preserve">Nesoulad oboru výsledku, ve kterém měl být hodnocen, a oborovou příslušností hodnotitelů </w:t>
      </w:r>
      <w:r w:rsidRPr="00C24D02">
        <w:rPr>
          <w:rFonts w:asciiTheme="minorHAnsi" w:hAnsiTheme="minorHAnsi" w:cstheme="minorHAnsi"/>
        </w:rPr>
        <w:t xml:space="preserve">je konstatován i samotnými hodnotiteli: </w:t>
      </w:r>
    </w:p>
    <w:p w14:paraId="1A5EE7A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Hodnotitel 1: </w:t>
      </w:r>
      <w:r w:rsidRPr="00C24D02">
        <w:rPr>
          <w:rFonts w:asciiTheme="minorHAnsi" w:hAnsiTheme="minorHAnsi" w:cstheme="minorHAnsi"/>
        </w:rPr>
        <w:t>„</w:t>
      </w:r>
      <w:r w:rsidRPr="00C24D02">
        <w:rPr>
          <w:rFonts w:asciiTheme="minorHAnsi" w:hAnsiTheme="minorHAnsi" w:cstheme="minorHAnsi"/>
          <w:i/>
          <w:iCs/>
        </w:rPr>
        <w:t>Jedná se o práci z humanitního oboru která mezi práce přírodovědného charakteru nezapadá a lze jí jen velmi těžko hodnotit. Oponent vyjadřuje názor že tento příspěvek by měl být hodnocen jinými kritérii</w:t>
      </w:r>
      <w:r w:rsidRPr="00C24D02">
        <w:rPr>
          <w:rFonts w:asciiTheme="minorHAnsi" w:hAnsiTheme="minorHAnsi" w:cstheme="minorHAnsi"/>
        </w:rPr>
        <w:t xml:space="preserve">.“ </w:t>
      </w:r>
    </w:p>
    <w:p w14:paraId="45E9012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Hodnotitel 2: </w:t>
      </w:r>
      <w:r w:rsidRPr="00C24D02">
        <w:rPr>
          <w:rFonts w:asciiTheme="minorHAnsi" w:hAnsiTheme="minorHAnsi" w:cstheme="minorHAnsi"/>
        </w:rPr>
        <w:t>„</w:t>
      </w:r>
      <w:r w:rsidRPr="00C24D02">
        <w:rPr>
          <w:rFonts w:asciiTheme="minorHAnsi" w:hAnsiTheme="minorHAnsi" w:cstheme="minorHAnsi"/>
          <w:i/>
          <w:iCs/>
        </w:rPr>
        <w:t>Znovu ale opakuji, že mé hodnocení vychází z jiného oboru, než v jakém byl výsledek vytvořen.</w:t>
      </w:r>
      <w:r w:rsidRPr="00C24D02">
        <w:rPr>
          <w:rFonts w:asciiTheme="minorHAnsi" w:hAnsiTheme="minorHAnsi" w:cstheme="minorHAnsi"/>
        </w:rPr>
        <w:t xml:space="preserve">“ </w:t>
      </w:r>
    </w:p>
    <w:p w14:paraId="16DD0936"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Panelista garant: „</w:t>
      </w:r>
      <w:r w:rsidRPr="00C24D02">
        <w:rPr>
          <w:rFonts w:asciiTheme="minorHAnsi" w:hAnsiTheme="minorHAnsi" w:cstheme="minorHAnsi"/>
          <w:i/>
          <w:iCs/>
        </w:rPr>
        <w:t>Práce byla zřejmě chybně zařazena, neboť se jedná se o práci z humanitního oboru která mezi práce přírodovědného charakteru nezapadá“</w:t>
      </w:r>
      <w:r w:rsidRPr="00C24D02">
        <w:rPr>
          <w:rFonts w:asciiTheme="minorHAnsi" w:hAnsiTheme="minorHAnsi" w:cstheme="minorHAnsi"/>
          <w:b/>
          <w:bCs/>
        </w:rPr>
        <w:t xml:space="preserve">. </w:t>
      </w:r>
    </w:p>
    <w:p w14:paraId="38B7154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Uživatelská příručka (M17+ Uživatelská příručka pro výzkumné organizace, členy Odborných panelů, externí hodnotitele a poskytovatele institucionální podpory VaVaI) na str. 26 uvádí: </w:t>
      </w:r>
    </w:p>
    <w:p w14:paraId="62B7917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i/>
          <w:iCs/>
        </w:rPr>
        <w:t xml:space="preserve">c. Členové Odborných panelů zajišťují distribuci výsledků k recenznímu posouzení externím hodnotitelům, a to na principu </w:t>
      </w:r>
      <w:r w:rsidRPr="00C24D02">
        <w:rPr>
          <w:rFonts w:asciiTheme="minorHAnsi" w:hAnsiTheme="minorHAnsi" w:cstheme="minorHAnsi"/>
          <w:b/>
          <w:bCs/>
          <w:i/>
          <w:iCs/>
        </w:rPr>
        <w:t xml:space="preserve">souladu zaměření výsledku s odborností hodnotitele </w:t>
      </w:r>
      <w:r w:rsidRPr="00C24D02">
        <w:rPr>
          <w:rFonts w:asciiTheme="minorHAnsi" w:hAnsiTheme="minorHAnsi" w:cstheme="minorHAnsi"/>
          <w:i/>
          <w:iCs/>
        </w:rPr>
        <w:t xml:space="preserve">(FORD, DETAILED FORD, klíčová slova) a jeho nepodjatosti. </w:t>
      </w:r>
    </w:p>
    <w:p w14:paraId="3754722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i/>
          <w:iCs/>
        </w:rPr>
        <w:t xml:space="preserve">c. Výsledek, který byl přiřazen Odbornému panelu zaměřenému na jinou problematiku na základě administrativní chyby, je přeřazen do odpovídajícího Odborného panelu bez zbytečného prodlení poté, co se tato skutečnost zjistí. </w:t>
      </w:r>
    </w:p>
    <w:p w14:paraId="3DACEA0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Z výše uvedeného je zřejmé, že v rámci hodnotícího procesu </w:t>
      </w:r>
      <w:r w:rsidRPr="00C24D02">
        <w:rPr>
          <w:rFonts w:asciiTheme="minorHAnsi" w:hAnsiTheme="minorHAnsi" w:cstheme="minorHAnsi"/>
          <w:b/>
          <w:bCs/>
        </w:rPr>
        <w:t xml:space="preserve">došlo k zásadnímu porušení metodiky hodnocení. Hodnocení odborníky z jiných oborů nezohlednilo kontext oboru, v rámci kterého je výsledek vykázán. Výsledek byl publikován v recenzovaném periodiku zaměřeném na výzkum v oblasti nového materialismu </w:t>
      </w:r>
      <w:r w:rsidRPr="00C24D02">
        <w:rPr>
          <w:rFonts w:asciiTheme="minorHAnsi" w:hAnsiTheme="minorHAnsi" w:cstheme="minorHAnsi"/>
          <w:i/>
          <w:iCs/>
        </w:rPr>
        <w:t>Matter: Journal of New Materialist Research</w:t>
      </w:r>
      <w:r w:rsidRPr="00C24D02">
        <w:rPr>
          <w:rFonts w:asciiTheme="minorHAnsi" w:hAnsiTheme="minorHAnsi" w:cstheme="minorHAnsi"/>
        </w:rPr>
        <w:t xml:space="preserve">, který se na tuto novou, dynamicky se rozvíjející oblast </w:t>
      </w:r>
      <w:r w:rsidRPr="00C24D02">
        <w:rPr>
          <w:rFonts w:asciiTheme="minorHAnsi" w:hAnsiTheme="minorHAnsi" w:cstheme="minorHAnsi"/>
          <w:i/>
          <w:iCs/>
        </w:rPr>
        <w:t xml:space="preserve">specializuje </w:t>
      </w:r>
      <w:r w:rsidRPr="00C24D02">
        <w:rPr>
          <w:rFonts w:asciiTheme="minorHAnsi" w:hAnsiTheme="minorHAnsi" w:cstheme="minorHAnsi"/>
        </w:rPr>
        <w:t xml:space="preserve">a patří k nosným platformám oboru. O významu a dosahu článku svědčí v příloze doložené veřejně dostupné statistiky nejčtenějších článků časopisu: v roce zveřejnění (1. březen 2023) měl článek 880 zhlédnutí (druhý nejčtenější článek v časopise v daném roce), loni 950 (nejčtenější), letos (k 1. </w:t>
      </w:r>
      <w:r w:rsidRPr="00C24D02">
        <w:rPr>
          <w:rFonts w:asciiTheme="minorHAnsi" w:hAnsiTheme="minorHAnsi" w:cstheme="minorHAnsi"/>
        </w:rPr>
        <w:lastRenderedPageBreak/>
        <w:t xml:space="preserve">říjnu 2025) 1305 (druhý nejčtenější článek). Rostoucí popularita článku svědčí o trvalém zájmu o problematiku i relevanci zvoleného oborového rámce. </w:t>
      </w:r>
    </w:p>
    <w:p w14:paraId="2D9C26C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Jelikož byl výsledek prokazatelně hodnocen v rozporu s platnou metodikou, požadujeme zneplatnění tohoto hodnocení a revizi hodnocení výsledku podle platné metodiky. </w:t>
      </w:r>
    </w:p>
    <w:p w14:paraId="5A8783C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Námitka směřovala k problematickému zhodnocení výsledku: výsledek byl v rozporu s metodikou hodnocení M17+ hodnocen odborníky z jiných oborů a panelů. </w:t>
      </w:r>
    </w:p>
    <w:p w14:paraId="1BD6E54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Panel se v průběhu hodnocení H24 shodl na tom, že výsledek svým obsahem nespadá do oblasti „humanities and arts“, ale že se panel pokusí nechat zhodnotit výsledek interdisciplinárně. Z tohoto důvodu byl výsledek hodnocen z hlediska chemicko-biologického, tak i z hlediska psychologického. </w:t>
      </w:r>
    </w:p>
    <w:p w14:paraId="1E25831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Panel uznává, že výsledek mohl být zhodnocen i z pohledu oborů 6. panelu a uznává problematickou formulaci finálního hodnocení, ve kterém byla nekriticky opakována formulace z prvního hodnocení: „Práce byla zřejmě chybně zařazena, neboť se jedná se o práci z humanitního oboru...“. </w:t>
      </w:r>
    </w:p>
    <w:p w14:paraId="2022139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Uznáme, že finální hodnocení mohlo vyznít zavádějícím způsobem. Panel si však stojí za postupem interdisciplinárního hodnocení výsledku, protože hovoří o vlivu chemických substancí na emoční život jedince atd. I když i nadále panel trvá na tom, že výsledek nespadá do 6. panelu, v rámci férovosti navrhujeme zhodnotit výsledek znovu, ale opět interdisciplinárně, a to i z pohledu humanitních oborů.</w:t>
      </w:r>
    </w:p>
    <w:p w14:paraId="56558D32"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vyhovět částečně a výsledek vrátit do hodnocení H25.</w:t>
      </w:r>
    </w:p>
    <w:p w14:paraId="2B16AA1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1F8899B7"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vrácením výsledku do hodnocení, přičemž zdůrazňuje nutnost přihlížet k jeho interdisciplinárnímu charakteru.</w:t>
      </w:r>
    </w:p>
    <w:p w14:paraId="567DB508" w14:textId="77777777" w:rsidR="00317816" w:rsidRPr="00C24D02" w:rsidRDefault="00317816" w:rsidP="00317816">
      <w:pPr>
        <w:rPr>
          <w:rFonts w:asciiTheme="minorHAnsi" w:hAnsiTheme="minorHAnsi" w:cstheme="minorHAnsi"/>
        </w:rPr>
      </w:pPr>
    </w:p>
    <w:p w14:paraId="63EA5A6B" w14:textId="0C13C10A" w:rsidR="00317816" w:rsidRPr="00C24D02" w:rsidRDefault="00317816">
      <w:pPr>
        <w:suppressAutoHyphens w:val="0"/>
        <w:spacing w:after="160" w:line="259" w:lineRule="auto"/>
        <w:rPr>
          <w:rFonts w:asciiTheme="minorHAnsi" w:hAnsiTheme="minorHAnsi" w:cstheme="minorHAnsi"/>
        </w:rPr>
      </w:pPr>
      <w:r w:rsidRPr="00C24D02">
        <w:rPr>
          <w:rFonts w:asciiTheme="minorHAnsi" w:hAnsiTheme="minorHAnsi" w:cstheme="minorHAnsi"/>
        </w:rPr>
        <w:br w:type="page"/>
      </w:r>
    </w:p>
    <w:p w14:paraId="296D7504" w14:textId="35793A17" w:rsidR="00317816" w:rsidRPr="00D054AE" w:rsidRDefault="00317816" w:rsidP="00317816">
      <w:pPr>
        <w:pStyle w:val="Nadpis1"/>
        <w:numPr>
          <w:ilvl w:val="0"/>
          <w:numId w:val="1"/>
        </w:numPr>
        <w:spacing w:before="480" w:after="480" w:line="360" w:lineRule="auto"/>
        <w:ind w:left="714" w:hanging="357"/>
        <w:rPr>
          <w:rFonts w:asciiTheme="minorHAnsi" w:hAnsiTheme="minorHAnsi" w:cstheme="minorHAnsi"/>
          <w:sz w:val="22"/>
          <w:szCs w:val="22"/>
        </w:rPr>
      </w:pPr>
      <w:bookmarkStart w:id="36" w:name="_Hlk218603778"/>
      <w:r w:rsidRPr="00C24D02">
        <w:rPr>
          <w:rFonts w:asciiTheme="minorHAnsi" w:hAnsiTheme="minorHAnsi" w:cstheme="minorHAnsi"/>
          <w:sz w:val="22"/>
          <w:szCs w:val="22"/>
        </w:rPr>
        <w:lastRenderedPageBreak/>
        <w:t xml:space="preserve"> </w:t>
      </w:r>
      <w:bookmarkStart w:id="37" w:name="_Toc221799820"/>
      <w:r w:rsidRPr="00C24D02">
        <w:rPr>
          <w:rFonts w:asciiTheme="minorHAnsi" w:hAnsiTheme="minorHAnsi" w:cstheme="minorHAnsi"/>
          <w:sz w:val="22"/>
          <w:szCs w:val="22"/>
        </w:rPr>
        <w:t>Věcné námitky</w:t>
      </w:r>
      <w:bookmarkEnd w:id="36"/>
      <w:bookmarkEnd w:id="37"/>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9BC5226" w14:textId="77777777" w:rsidTr="003D1A59">
        <w:tc>
          <w:tcPr>
            <w:tcW w:w="2405" w:type="dxa"/>
          </w:tcPr>
          <w:p w14:paraId="672ED11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0A17AFB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Český metrologický institut</w:t>
            </w:r>
          </w:p>
        </w:tc>
      </w:tr>
      <w:tr w:rsidR="00317816" w:rsidRPr="00C24D02" w14:paraId="09765C6A" w14:textId="77777777" w:rsidTr="003D1A59">
        <w:tc>
          <w:tcPr>
            <w:tcW w:w="2405" w:type="dxa"/>
          </w:tcPr>
          <w:p w14:paraId="58A859C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4D88858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192149412</w:t>
            </w:r>
          </w:p>
        </w:tc>
      </w:tr>
      <w:tr w:rsidR="00317816" w:rsidRPr="00C24D02" w14:paraId="3936CA9D" w14:textId="77777777" w:rsidTr="003D1A59">
        <w:trPr>
          <w:trHeight w:val="741"/>
        </w:trPr>
        <w:tc>
          <w:tcPr>
            <w:tcW w:w="2405" w:type="dxa"/>
          </w:tcPr>
          <w:p w14:paraId="1CC40AF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7E5E2B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Mathematical approach to evaluate involute gear profile and helix deviations without using special gear software</w:t>
            </w:r>
            <w:bookmarkStart w:id="38" w:name="_Hlk218603808"/>
            <w:bookmarkEnd w:id="38"/>
          </w:p>
        </w:tc>
      </w:tr>
      <w:tr w:rsidR="00317816" w:rsidRPr="00C24D02" w14:paraId="357E3813" w14:textId="77777777" w:rsidTr="003D1A59">
        <w:tc>
          <w:tcPr>
            <w:tcW w:w="2405" w:type="dxa"/>
          </w:tcPr>
          <w:p w14:paraId="0607BDD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20B45B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63B12F6D" w14:textId="77777777" w:rsidTr="003D1A59">
        <w:tc>
          <w:tcPr>
            <w:tcW w:w="2405" w:type="dxa"/>
          </w:tcPr>
          <w:p w14:paraId="463A0C8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3BFFE99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55B5B4A8" w14:textId="77777777" w:rsidTr="003D1A59">
        <w:tc>
          <w:tcPr>
            <w:tcW w:w="2405" w:type="dxa"/>
          </w:tcPr>
          <w:p w14:paraId="1F75662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18"/>
            </w:r>
            <w:r w:rsidRPr="00C24D02">
              <w:rPr>
                <w:rFonts w:asciiTheme="minorHAnsi" w:eastAsia="Calibri" w:hAnsiTheme="minorHAnsi" w:cstheme="minorHAnsi"/>
              </w:rPr>
              <w:t>)</w:t>
            </w:r>
          </w:p>
        </w:tc>
        <w:tc>
          <w:tcPr>
            <w:tcW w:w="6378" w:type="dxa"/>
          </w:tcPr>
          <w:p w14:paraId="75DDB6A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3/5/4/</w:t>
            </w:r>
            <w:r w:rsidRPr="00C24D02">
              <w:rPr>
                <w:rFonts w:asciiTheme="minorHAnsi" w:eastAsia="Calibri" w:hAnsiTheme="minorHAnsi" w:cstheme="minorHAnsi"/>
                <w:b/>
                <w:bCs/>
              </w:rPr>
              <w:t>5</w:t>
            </w:r>
          </w:p>
        </w:tc>
      </w:tr>
      <w:tr w:rsidR="00317816" w:rsidRPr="00C24D02" w14:paraId="74EC34D8" w14:textId="77777777" w:rsidTr="003D1A59">
        <w:tc>
          <w:tcPr>
            <w:tcW w:w="2405" w:type="dxa"/>
          </w:tcPr>
          <w:p w14:paraId="36E078A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C81A6E3"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5.</w:t>
            </w:r>
          </w:p>
        </w:tc>
      </w:tr>
    </w:tbl>
    <w:p w14:paraId="24B42F44" w14:textId="77777777" w:rsidR="00317816" w:rsidRPr="00C24D02" w:rsidRDefault="00317816" w:rsidP="00317816">
      <w:pPr>
        <w:spacing w:after="144" w:line="360" w:lineRule="auto"/>
        <w:rPr>
          <w:rFonts w:asciiTheme="minorHAnsi" w:hAnsiTheme="minorHAnsi" w:cstheme="minorHAnsi"/>
        </w:rPr>
      </w:pPr>
    </w:p>
    <w:p w14:paraId="2F8613A7"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Nefunkční odkaz výsledku</w:t>
      </w:r>
    </w:p>
    <w:p w14:paraId="45ACC03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0F57C47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rádi bychom poděkovali za zhodnocení našeho článku a za čas, který jste věnovali jeho posouzení. Zároveň se omlouváme za skutečnost, že jste neměli k dispozici samotný článek při provádění hodnocení, což bylo způsobeno politováníhodným a neúmyslným administrativním nedopatřením. Tento nedostatek jsme nyní napravili a přikládáme článek dodatečně k této zpětné vazbě. </w:t>
      </w:r>
    </w:p>
    <w:p w14:paraId="35180C8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Níže uvádíme podrobné vyjádření k jednotlivým bodům hodnocení spolu s vysvětlením zvoleného postupu, který je uveden v samotném článku. </w:t>
      </w:r>
    </w:p>
    <w:p w14:paraId="76A64D7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Věříme, že naše zpětná vazba a přiložený článek pomohou při případném opětovném posouzení tohoto výsledku předloženého do systému SKV. </w:t>
      </w:r>
    </w:p>
    <w:p w14:paraId="64F6E30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Hodnocený výsledek, tedy článek, nebyl v dokumentaci přiložen a poskytnutý odkaz nevede k výsledku bez nutnosti placeného přístupu. V tomto případě nelze </w:t>
      </w:r>
      <w:r w:rsidRPr="00C24D02">
        <w:rPr>
          <w:rFonts w:asciiTheme="minorHAnsi" w:hAnsiTheme="minorHAnsi" w:cstheme="minorHAnsi"/>
        </w:rPr>
        <w:lastRenderedPageBreak/>
        <w:t>hodnotit výsledek jinak, než úrovní 5. Námitka má charakter žádosti o znovuzhodnocení výsledku. Hodnocení je již uzavřeno, a tudíž nelze žádosti vyhovět.</w:t>
      </w:r>
    </w:p>
    <w:p w14:paraId="6E70C69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777F14B2"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Při hodnocení je nutno postupovat dle oddílu 4.2.4 Zpřístupnění výsledků, písmene a) Postupu</w:t>
      </w:r>
      <w:r w:rsidRPr="00C24D02">
        <w:rPr>
          <w:rStyle w:val="Znakapoznpodarou"/>
          <w:rFonts w:asciiTheme="minorHAnsi" w:hAnsiTheme="minorHAnsi" w:cstheme="minorHAnsi"/>
        </w:rPr>
        <w:footnoteReference w:id="119"/>
      </w:r>
      <w:r w:rsidRPr="00C24D02">
        <w:rPr>
          <w:rFonts w:asciiTheme="minorHAnsi" w:hAnsiTheme="minorHAnsi" w:cstheme="minorHAnsi"/>
        </w:rPr>
        <w:t>, ve kterém je uvedeno: „</w:t>
      </w:r>
      <w:r w:rsidRPr="00C24D02">
        <w:rPr>
          <w:rFonts w:asciiTheme="minorHAnsi" w:hAnsiTheme="minorHAnsi" w:cstheme="minorHAnsi"/>
          <w:i/>
          <w:iCs/>
        </w:rPr>
        <w:t>Výzkumná organizace zajistí posouzení vybraných výsledků tak, že je vloží v elektronické podobě do aplikace pro sběr vybraných výsledků. V případě výsledků, které nelze z jejich povahy takto předložit, vkládá výzkumná organizace příslušnou dokumentaci popisující vybraný výsledek a další podpůrné informace. Místo souboru s výsledkem je možné vložit odkaz na úložiště, kde je tento soubor nahrán, nesmí se však jednat o úložiště, které je zpoplatněné (např. JSTOR).“</w:t>
      </w:r>
    </w:p>
    <w:p w14:paraId="6DA73B03" w14:textId="06B6489E"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2F75E5A" w14:textId="77777777" w:rsidTr="003D1A59">
        <w:tc>
          <w:tcPr>
            <w:tcW w:w="2405" w:type="dxa"/>
          </w:tcPr>
          <w:p w14:paraId="438FD76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00485BD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Masarykova univerzita</w:t>
            </w:r>
          </w:p>
        </w:tc>
      </w:tr>
      <w:tr w:rsidR="00317816" w:rsidRPr="00C24D02" w14:paraId="7B3A18C7" w14:textId="77777777" w:rsidTr="003D1A59">
        <w:tc>
          <w:tcPr>
            <w:tcW w:w="2405" w:type="dxa"/>
          </w:tcPr>
          <w:p w14:paraId="16EBA57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936ED4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192478588</w:t>
            </w:r>
          </w:p>
        </w:tc>
      </w:tr>
      <w:tr w:rsidR="00317816" w:rsidRPr="00C24D02" w14:paraId="5C50CCEA" w14:textId="77777777" w:rsidTr="003D1A59">
        <w:trPr>
          <w:trHeight w:val="741"/>
        </w:trPr>
        <w:tc>
          <w:tcPr>
            <w:tcW w:w="2405" w:type="dxa"/>
          </w:tcPr>
          <w:p w14:paraId="7ED595E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2E3E83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Differentiation of Sialyl Linkages Using a Combination of Alkyl Esterification and Phenylhydrazine Derivatization: Application for N-Glycan Profiling in the Sera of Patients with Lung Cancer</w:t>
            </w:r>
            <w:bookmarkStart w:id="39" w:name="_Hlk218603900"/>
            <w:bookmarkEnd w:id="39"/>
          </w:p>
        </w:tc>
      </w:tr>
      <w:tr w:rsidR="00317816" w:rsidRPr="00C24D02" w14:paraId="02B951EF" w14:textId="77777777" w:rsidTr="003D1A59">
        <w:tc>
          <w:tcPr>
            <w:tcW w:w="2405" w:type="dxa"/>
          </w:tcPr>
          <w:p w14:paraId="22D210A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FD6138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w:t>
            </w:r>
          </w:p>
        </w:tc>
      </w:tr>
      <w:tr w:rsidR="00317816" w:rsidRPr="00C24D02" w14:paraId="23A5FBA6" w14:textId="77777777" w:rsidTr="003D1A59">
        <w:tc>
          <w:tcPr>
            <w:tcW w:w="2405" w:type="dxa"/>
          </w:tcPr>
          <w:p w14:paraId="1A88F06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127B6A3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1E66F0AA" w14:textId="77777777" w:rsidTr="003D1A59">
        <w:tc>
          <w:tcPr>
            <w:tcW w:w="2405" w:type="dxa"/>
          </w:tcPr>
          <w:p w14:paraId="31B3CFF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20"/>
            </w:r>
            <w:r w:rsidRPr="00C24D02">
              <w:rPr>
                <w:rFonts w:asciiTheme="minorHAnsi" w:eastAsia="Calibri" w:hAnsiTheme="minorHAnsi" w:cstheme="minorHAnsi"/>
              </w:rPr>
              <w:t>)</w:t>
            </w:r>
          </w:p>
        </w:tc>
        <w:tc>
          <w:tcPr>
            <w:tcW w:w="6378" w:type="dxa"/>
          </w:tcPr>
          <w:p w14:paraId="5A3E2D9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w:t>
            </w:r>
          </w:p>
        </w:tc>
      </w:tr>
      <w:tr w:rsidR="00317816" w:rsidRPr="00C24D02" w14:paraId="561027C5" w14:textId="77777777" w:rsidTr="003D1A59">
        <w:tc>
          <w:tcPr>
            <w:tcW w:w="2405" w:type="dxa"/>
          </w:tcPr>
          <w:p w14:paraId="6E2B6D3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308DCED"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5.</w:t>
            </w:r>
          </w:p>
        </w:tc>
      </w:tr>
    </w:tbl>
    <w:p w14:paraId="44D288D5" w14:textId="77777777" w:rsidR="00317816" w:rsidRPr="00C24D02" w:rsidRDefault="00317816" w:rsidP="00317816">
      <w:pPr>
        <w:spacing w:after="144" w:line="360" w:lineRule="auto"/>
        <w:rPr>
          <w:rFonts w:asciiTheme="minorHAnsi" w:hAnsiTheme="minorHAnsi" w:cstheme="minorHAnsi"/>
        </w:rPr>
      </w:pPr>
    </w:p>
    <w:p w14:paraId="5BD82C2B"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Nefunkční odkaz</w:t>
      </w:r>
    </w:p>
    <w:p w14:paraId="0F2350D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8E09B5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Pro zakládání záznamů v aplikaci jsme využili Úřadem vlády definovanou excelovou strukturu, ve které po kontrole byl odkaz na plný text správný. Není již možné dohledat, jak je možné, že v aplikaci po odeslání zůstal jiný odkaz, než který jsme původně nahrávali. Mohlo se to stát při manipulaci s výsledky v aplikaci, kdy je nutné záznam otevřít a některé údaje manuálně doplnit. Za toto nedopatření se omlouváme. Nicméně, i přes toto přiznání vlastního nedopatření chceme za MU proti hodnocení 5 protestovat a žádáme o vrácení do hodnocení, zejména ze dvou důvodů:</w:t>
      </w:r>
    </w:p>
    <w:p w14:paraId="3BB57ADB" w14:textId="77777777" w:rsidR="00317816" w:rsidRPr="00C24D02" w:rsidRDefault="00317816" w:rsidP="00317816">
      <w:pPr>
        <w:numPr>
          <w:ilvl w:val="0"/>
          <w:numId w:val="31"/>
        </w:numPr>
        <w:spacing w:after="144" w:line="360" w:lineRule="auto"/>
        <w:jc w:val="both"/>
        <w:rPr>
          <w:rFonts w:asciiTheme="minorHAnsi" w:hAnsiTheme="minorHAnsi" w:cstheme="minorHAnsi"/>
        </w:rPr>
      </w:pPr>
      <w:r w:rsidRPr="00C24D02">
        <w:rPr>
          <w:rFonts w:asciiTheme="minorHAnsi" w:hAnsiTheme="minorHAnsi" w:cstheme="minorHAnsi"/>
        </w:rPr>
        <w:t>u výsledku je přímo v SKV záznamu </w:t>
      </w:r>
      <w:r w:rsidRPr="00C24D02">
        <w:rPr>
          <w:rFonts w:asciiTheme="minorHAnsi" w:hAnsiTheme="minorHAnsi" w:cstheme="minorHAnsi"/>
          <w:b/>
          <w:bCs/>
        </w:rPr>
        <w:t>uvedeno i doi, které vede na správný fulltext</w:t>
      </w:r>
      <w:r w:rsidRPr="00C24D02">
        <w:rPr>
          <w:rFonts w:asciiTheme="minorHAnsi" w:hAnsiTheme="minorHAnsi" w:cstheme="minorHAnsi"/>
        </w:rPr>
        <w:t>. Hodnotitel tedy mohl pouze kliknout na jiný odkaz v tom stejném rozhraní a k výsledku by se prakticky bez práce dostal. Sepsání komentáře o nedostupnosti a známku 5 tedy vnímáme jako administrativně hyperkorektní a zejména neefektivní jednání hodnotitele, který se neobtěžoval věnovat deset vteřin navíc pro kliknutí na správné doi. Nabízí se otázka, k čemu na světě existují digitální identifikátory, když jsou následně ignorovány v rigidním systému, kdy se bere v úvahu pouze kolonka "odkaz na výsledek". Jednání hodnotitele v tomto směru považujeme téměř na naschvál, protože výsledek dohledat lze, a to velmi jednoduše. Pokud se hodnotitel cítí povinen takto jednak kvůli nastaveným pravidlům, pak jsou pravidla absurdní. </w:t>
      </w:r>
    </w:p>
    <w:p w14:paraId="3C36FA40" w14:textId="77777777" w:rsidR="00317816" w:rsidRPr="00C24D02" w:rsidRDefault="00317816" w:rsidP="00317816">
      <w:pPr>
        <w:numPr>
          <w:ilvl w:val="0"/>
          <w:numId w:val="31"/>
        </w:numPr>
        <w:spacing w:after="144" w:line="360" w:lineRule="auto"/>
        <w:jc w:val="both"/>
        <w:rPr>
          <w:rFonts w:asciiTheme="minorHAnsi" w:hAnsiTheme="minorHAnsi" w:cstheme="minorHAnsi"/>
        </w:rPr>
      </w:pPr>
      <w:r w:rsidRPr="00C24D02">
        <w:rPr>
          <w:rFonts w:asciiTheme="minorHAnsi" w:hAnsiTheme="minorHAnsi" w:cstheme="minorHAnsi"/>
        </w:rPr>
        <w:t xml:space="preserve">pro případy, kdy výsledek nelze dohledat, je vyhrazena známka N, tedy nehodnoceno. Není nám jasné, proč by měl být výsledek penalizován špatnou známkou kvůli administrativnímu pochybení, zejména, pokud je v tomto případě výsledek snadno dohledatelný. Známka 5 slouží k označení výsledků, které naplňují adekvátní kvalitativní standard (podprůměrný). Výkon instituce je následně interpretován podle známek, nikoli podle zdůvodnění. Přispět administrativním pochybením k dojmu špatné kvality instituce je opět absurdní.  </w:t>
      </w:r>
    </w:p>
    <w:p w14:paraId="242B492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Předkládaný výsledek byl hodnocen stupněm 5 z důvodu nedostupnosti výsledku, kdy nakopírovaný odkaz vedl na odlišný článek. Hodnotitel v tomto případě postupoval plně v souladu s aktuálně platnými postupy hodnocení, které jsou aplikovány </w:t>
      </w:r>
      <w:r w:rsidRPr="00C24D02">
        <w:rPr>
          <w:rFonts w:asciiTheme="minorHAnsi" w:hAnsiTheme="minorHAnsi" w:cstheme="minorHAnsi"/>
        </w:rPr>
        <w:lastRenderedPageBreak/>
        <w:t>stejným způsobem na hodnocení všech výsledků. Není možné ani využít jiného stupně hodnocení, které je určeno pro odlišné případy. Po projednání námitky odborný panel trvá na původním hodnocení výsledku.</w:t>
      </w:r>
    </w:p>
    <w:p w14:paraId="2BA2708E"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11C4B61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Při hodnocení je nutno postupovat dle oddílů:</w:t>
      </w:r>
    </w:p>
    <w:p w14:paraId="4289E379" w14:textId="77777777" w:rsidR="00317816" w:rsidRPr="00C24D02" w:rsidRDefault="00317816" w:rsidP="00317816">
      <w:pPr>
        <w:spacing w:before="240" w:after="144" w:line="360" w:lineRule="auto"/>
        <w:jc w:val="both"/>
        <w:rPr>
          <w:rFonts w:asciiTheme="minorHAnsi" w:hAnsiTheme="minorHAnsi" w:cstheme="minorHAnsi"/>
          <w:i/>
          <w:iCs/>
        </w:rPr>
      </w:pPr>
      <w:r w:rsidRPr="00C24D02">
        <w:rPr>
          <w:rFonts w:asciiTheme="minorHAnsi" w:hAnsiTheme="minorHAnsi" w:cstheme="minorHAnsi"/>
        </w:rPr>
        <w:t xml:space="preserve"> </w:t>
      </w:r>
      <w:r w:rsidRPr="00C24D02">
        <w:rPr>
          <w:rFonts w:asciiTheme="minorHAnsi" w:hAnsiTheme="minorHAnsi" w:cstheme="minorHAnsi"/>
          <w:b/>
          <w:bCs/>
        </w:rPr>
        <w:t>4.2 Zajištění podkladů pro hodnocení vybraného výsledku</w:t>
      </w:r>
      <w:r w:rsidRPr="00C24D02">
        <w:rPr>
          <w:rFonts w:asciiTheme="minorHAnsi" w:hAnsiTheme="minorHAnsi" w:cstheme="minorHAnsi"/>
        </w:rPr>
        <w:t>, písmene a) Postupu</w:t>
      </w:r>
      <w:r w:rsidRPr="00C24D02">
        <w:rPr>
          <w:rStyle w:val="Znakapoznpodarou"/>
          <w:rFonts w:asciiTheme="minorHAnsi" w:eastAsiaTheme="majorEastAsia" w:hAnsiTheme="minorHAnsi" w:cstheme="minorHAnsi"/>
        </w:rPr>
        <w:footnoteReference w:id="121"/>
      </w:r>
      <w:r w:rsidRPr="00C24D02">
        <w:rPr>
          <w:rFonts w:asciiTheme="minorHAnsi" w:hAnsiTheme="minorHAnsi" w:cstheme="minorHAnsi"/>
        </w:rPr>
        <w:t>, ve kterém je uvedeno: „</w:t>
      </w:r>
      <w:r w:rsidRPr="00C24D02">
        <w:rPr>
          <w:rFonts w:asciiTheme="minorHAnsi" w:hAnsiTheme="minorHAnsi" w:cstheme="minorHAnsi"/>
          <w:i/>
          <w:iCs/>
        </w:rPr>
        <w:t>Do hodnocení vybraných výsledků mohou být zařazeny pouze výsledky uvedené v RIV. Do hodnocení se předkládá vždy plný text daného výsledku (např. celá kniha u výsledku druhu B, celá kapitola včetně údajů identifikujících knihu u druhu výsledku C, celá metodika a nejen její osvědčení u výsledku druhu NmetS atd.). U výsledků, kde je plný text zveřejněn na úložišti výzkumné organizace či jiném úložišti, musí být výsledek veřejně přístupný (nesmí být na heslo nebo přístupný jen po zaplacení poplatku apod. a musí jít o odkaz na daný výsledek, tj. nikoliv na knihovnu apod., kde je možné ho najít).“</w:t>
      </w:r>
    </w:p>
    <w:p w14:paraId="3EE87A5D"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rPr>
        <w:t>4.2.4 Zpřístupnění výsledků</w:t>
      </w:r>
      <w:r w:rsidRPr="00C24D02">
        <w:rPr>
          <w:rFonts w:asciiTheme="minorHAnsi" w:hAnsiTheme="minorHAnsi" w:cstheme="minorHAnsi"/>
        </w:rPr>
        <w:t>, písmene a) Postupu</w:t>
      </w:r>
      <w:r w:rsidRPr="00C24D02">
        <w:rPr>
          <w:rStyle w:val="Znakapoznpodarou"/>
          <w:rFonts w:asciiTheme="minorHAnsi" w:eastAsiaTheme="majorEastAsia" w:hAnsiTheme="minorHAnsi" w:cstheme="minorHAnsi"/>
        </w:rPr>
        <w:footnoteReference w:id="122"/>
      </w:r>
      <w:r w:rsidRPr="00C24D02">
        <w:rPr>
          <w:rFonts w:asciiTheme="minorHAnsi" w:hAnsiTheme="minorHAnsi" w:cstheme="minorHAnsi"/>
        </w:rPr>
        <w:t xml:space="preserve">, ve kterém je uvedeno: </w:t>
      </w:r>
      <w:r w:rsidRPr="00C24D02">
        <w:rPr>
          <w:rFonts w:asciiTheme="minorHAnsi" w:hAnsiTheme="minorHAnsi" w:cstheme="minorHAnsi"/>
          <w:i/>
          <w:iCs/>
        </w:rPr>
        <w:t>„Výzkumná organizace zajistí posouzení vybraných výsledků tak, že je vloží v elektronické podobě do aplikace pro sběr vybraných výsledků. V případě výsledků, které nelze z jejich povahy takto předložit, vkládá výzkumná organizace příslušnou dokumentaci popisující vybraný výsledek a další podpůrné informace. Místo souboru s výsledkem je možné vložit odkaz na úložiště, kde je tento soubor nahrán, nesmí se však jednat o úložiště, které je zpoplatněné (např. JSTOR).“</w:t>
      </w:r>
    </w:p>
    <w:p w14:paraId="7B131200" w14:textId="1A0C9B16" w:rsidR="00317816" w:rsidRPr="00D054AE" w:rsidRDefault="00317816" w:rsidP="00D054AE">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0E6C2512" w14:textId="77777777" w:rsidTr="003D1A59">
        <w:tc>
          <w:tcPr>
            <w:tcW w:w="2405" w:type="dxa"/>
          </w:tcPr>
          <w:p w14:paraId="25A67E3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F44D35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Mendelova univerzita v Brně</w:t>
            </w:r>
          </w:p>
        </w:tc>
      </w:tr>
      <w:tr w:rsidR="00317816" w:rsidRPr="00C24D02" w14:paraId="4CA3F144" w14:textId="77777777" w:rsidTr="003D1A59">
        <w:tc>
          <w:tcPr>
            <w:tcW w:w="2405" w:type="dxa"/>
          </w:tcPr>
          <w:p w14:paraId="65D6D83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7E31840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192552054</w:t>
            </w:r>
          </w:p>
        </w:tc>
      </w:tr>
      <w:tr w:rsidR="00317816" w:rsidRPr="00C24D02" w14:paraId="088A8C1B" w14:textId="77777777" w:rsidTr="003D1A59">
        <w:trPr>
          <w:trHeight w:val="741"/>
        </w:trPr>
        <w:tc>
          <w:tcPr>
            <w:tcW w:w="2405" w:type="dxa"/>
          </w:tcPr>
          <w:p w14:paraId="486B91F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Název</w:t>
            </w:r>
          </w:p>
        </w:tc>
        <w:tc>
          <w:tcPr>
            <w:tcW w:w="6378" w:type="dxa"/>
          </w:tcPr>
          <w:p w14:paraId="61CCCAB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A critical thermal transition driving spring phenology of Northern Hemisphere conifers</w:t>
            </w:r>
            <w:bookmarkStart w:id="40" w:name="_Hlk218604164"/>
            <w:bookmarkEnd w:id="40"/>
          </w:p>
        </w:tc>
      </w:tr>
      <w:tr w:rsidR="00317816" w:rsidRPr="00C24D02" w14:paraId="4A2BFD9C" w14:textId="77777777" w:rsidTr="003D1A59">
        <w:tc>
          <w:tcPr>
            <w:tcW w:w="2405" w:type="dxa"/>
          </w:tcPr>
          <w:p w14:paraId="462D9A4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E85B2D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317816" w:rsidRPr="00C24D02" w14:paraId="3B0AEDCE" w14:textId="77777777" w:rsidTr="003D1A59">
        <w:tc>
          <w:tcPr>
            <w:tcW w:w="2405" w:type="dxa"/>
          </w:tcPr>
          <w:p w14:paraId="14AD396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547F847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226859F7" w14:textId="77777777" w:rsidTr="003D1A59">
        <w:tc>
          <w:tcPr>
            <w:tcW w:w="2405" w:type="dxa"/>
          </w:tcPr>
          <w:p w14:paraId="2D51C05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23"/>
            </w:r>
            <w:r w:rsidRPr="00C24D02">
              <w:rPr>
                <w:rFonts w:asciiTheme="minorHAnsi" w:eastAsia="Calibri" w:hAnsiTheme="minorHAnsi" w:cstheme="minorHAnsi"/>
              </w:rPr>
              <w:t>)</w:t>
            </w:r>
          </w:p>
        </w:tc>
        <w:tc>
          <w:tcPr>
            <w:tcW w:w="6378" w:type="dxa"/>
          </w:tcPr>
          <w:p w14:paraId="344DA96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2/-/-/5</w:t>
            </w:r>
          </w:p>
        </w:tc>
      </w:tr>
      <w:tr w:rsidR="00317816" w:rsidRPr="00C24D02" w14:paraId="0465BEC8" w14:textId="77777777" w:rsidTr="003D1A59">
        <w:tc>
          <w:tcPr>
            <w:tcW w:w="2405" w:type="dxa"/>
          </w:tcPr>
          <w:p w14:paraId="18501D2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47AC1B2"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2.</w:t>
            </w:r>
          </w:p>
        </w:tc>
      </w:tr>
    </w:tbl>
    <w:p w14:paraId="4E54AE76" w14:textId="77777777" w:rsidR="00317816" w:rsidRPr="00C24D02" w:rsidRDefault="00317816" w:rsidP="00317816">
      <w:pPr>
        <w:spacing w:after="144" w:line="360" w:lineRule="auto"/>
        <w:rPr>
          <w:rFonts w:asciiTheme="minorHAnsi" w:hAnsiTheme="minorHAnsi" w:cstheme="minorHAnsi"/>
        </w:rPr>
      </w:pPr>
    </w:p>
    <w:p w14:paraId="21B5BA5D"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Nefunkční odkaz</w:t>
      </w:r>
    </w:p>
    <w:p w14:paraId="53BB3EE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169EC5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Rozporujeme známku technická 5 a tvrzení druhého recenzenta, že v aplikace SKV nebyl přiložen plný text výsledku. Aplikace SKV24 obsahovala v poli Text výsledku přílohu „LDF_04_A_critical_thermal transition.pdf“ s plným textem článku. Tuto skutečnost dokládáme printscreenem z aplikace SKV24. Aplikace v současné době je dostupná jen pro čtení bez možnosti provádět jakékoli změny. </w:t>
      </w:r>
    </w:p>
    <w:p w14:paraId="679C315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Žádáme o přehodnocení výsledku</w:t>
      </w:r>
      <w:r w:rsidRPr="00C24D02">
        <w:rPr>
          <w:rFonts w:asciiTheme="minorHAnsi" w:hAnsiTheme="minorHAnsi" w:cstheme="minorHAnsi"/>
        </w:rPr>
        <w:t xml:space="preserve"> </w:t>
      </w:r>
      <w:r w:rsidRPr="00C24D02">
        <w:rPr>
          <w:rFonts w:asciiTheme="minorHAnsi" w:hAnsiTheme="minorHAnsi" w:cstheme="minorHAnsi"/>
          <w:b/>
        </w:rPr>
        <w:t>192552054:</w:t>
      </w:r>
      <w:r w:rsidRPr="00C24D02">
        <w:rPr>
          <w:rFonts w:asciiTheme="minorHAnsi" w:hAnsiTheme="minorHAnsi" w:cstheme="minorHAnsi"/>
        </w:rPr>
        <w:t xml:space="preserve"> A critical thermal transition driving spring phenology of Northern Hemisphere conifers</w:t>
      </w:r>
    </w:p>
    <w:p w14:paraId="6E1F081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Panel souhlasí s námitkou. Pdf verze je skutečně přiložená k hodnocení. Po důkladném přezkoumání textu výsledku panel doporučuje, přiklonit se k známce 2, kterou navrhuje jediný hodnotitel a to z těchto důvodů: 1 - Studie využívá pokročilé statistické přístupy a pokrývá široký geografický i klimatický rozsah při výzkumu fenologických posunů na jaře v důsledku globálního oteplování. 2- práce dosahuje vynikající úrovně mezinárodního významu svým přispěním pro pochopení dynamiky vegetačního období v měnícím se klimatu. 3 - práce je citována v časopisech v Q1.</w:t>
      </w:r>
    </w:p>
    <w:p w14:paraId="37854600"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lastRenderedPageBreak/>
        <w:t>Vyjádření Odborného panelu:</w:t>
      </w:r>
      <w:r w:rsidRPr="00C24D02">
        <w:rPr>
          <w:rFonts w:asciiTheme="minorHAnsi" w:hAnsiTheme="minorHAnsi" w:cstheme="minorHAnsi"/>
          <w:b/>
        </w:rPr>
        <w:t xml:space="preserve"> </w:t>
      </w:r>
      <w:r w:rsidRPr="00C24D02">
        <w:rPr>
          <w:rFonts w:asciiTheme="minorHAnsi" w:hAnsiTheme="minorHAnsi" w:cstheme="minorHAnsi"/>
        </w:rPr>
        <w:t>Panel navrhuje námitce vyhovět a změnit hodnocení na stupeň 2.</w:t>
      </w:r>
    </w:p>
    <w:p w14:paraId="0EDB2EF7" w14:textId="77777777" w:rsidR="00317816" w:rsidRPr="00C24D02" w:rsidRDefault="00317816" w:rsidP="00317816">
      <w:pPr>
        <w:spacing w:before="240" w:after="144" w:line="360" w:lineRule="auto"/>
        <w:jc w:val="both"/>
        <w:rPr>
          <w:rFonts w:asciiTheme="minorHAnsi" w:hAnsiTheme="minorHAnsi" w:cstheme="minorHAnsi"/>
          <w:b/>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2D215BFC" w14:textId="70A64B9E" w:rsidR="00317816" w:rsidRPr="00D054AE" w:rsidRDefault="00317816" w:rsidP="00D054AE">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rPr>
        <w:t xml:space="preserve"> KHV souhlasí s názorem panelu a navrhuje přehodnocení výsledku stupněm 2.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DA29630" w14:textId="77777777" w:rsidTr="003D1A59">
        <w:tc>
          <w:tcPr>
            <w:tcW w:w="2405" w:type="dxa"/>
          </w:tcPr>
          <w:p w14:paraId="73D2977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10A27B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Národní knihovna České republiky</w:t>
            </w:r>
          </w:p>
        </w:tc>
      </w:tr>
      <w:tr w:rsidR="00317816" w:rsidRPr="00C24D02" w14:paraId="26680FDB" w14:textId="77777777" w:rsidTr="003D1A59">
        <w:tc>
          <w:tcPr>
            <w:tcW w:w="2405" w:type="dxa"/>
          </w:tcPr>
          <w:p w14:paraId="516868E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D8D725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192516971</w:t>
            </w:r>
          </w:p>
        </w:tc>
      </w:tr>
      <w:tr w:rsidR="00317816" w:rsidRPr="00C24D02" w14:paraId="28A44828" w14:textId="77777777" w:rsidTr="003D1A59">
        <w:trPr>
          <w:trHeight w:val="741"/>
        </w:trPr>
        <w:tc>
          <w:tcPr>
            <w:tcW w:w="2405" w:type="dxa"/>
          </w:tcPr>
          <w:p w14:paraId="01350A6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ADC834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Kunhuta: královská dcera a svatojiřská abatyše</w:t>
            </w:r>
            <w:bookmarkStart w:id="41" w:name="_Hlk218604205"/>
            <w:bookmarkEnd w:id="41"/>
          </w:p>
        </w:tc>
      </w:tr>
      <w:tr w:rsidR="00317816" w:rsidRPr="00C24D02" w14:paraId="60E3EC93" w14:textId="77777777" w:rsidTr="003D1A59">
        <w:tc>
          <w:tcPr>
            <w:tcW w:w="2405" w:type="dxa"/>
          </w:tcPr>
          <w:p w14:paraId="4170E8F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23A7368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6.1.</w:t>
            </w:r>
          </w:p>
        </w:tc>
      </w:tr>
      <w:tr w:rsidR="00317816" w:rsidRPr="00C24D02" w14:paraId="122F8626" w14:textId="77777777" w:rsidTr="003D1A59">
        <w:tc>
          <w:tcPr>
            <w:tcW w:w="2405" w:type="dxa"/>
          </w:tcPr>
          <w:p w14:paraId="22F7B63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14155A2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5F3B173F" w14:textId="77777777" w:rsidTr="003D1A59">
        <w:tc>
          <w:tcPr>
            <w:tcW w:w="2405" w:type="dxa"/>
          </w:tcPr>
          <w:p w14:paraId="443A115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24"/>
            </w:r>
            <w:r w:rsidRPr="00C24D02">
              <w:rPr>
                <w:rFonts w:asciiTheme="minorHAnsi" w:eastAsia="Calibri" w:hAnsiTheme="minorHAnsi" w:cstheme="minorHAnsi"/>
              </w:rPr>
              <w:t>)</w:t>
            </w:r>
          </w:p>
        </w:tc>
        <w:tc>
          <w:tcPr>
            <w:tcW w:w="6378" w:type="dxa"/>
          </w:tcPr>
          <w:p w14:paraId="02B7C63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3/5/4/4</w:t>
            </w:r>
          </w:p>
        </w:tc>
      </w:tr>
      <w:tr w:rsidR="00317816" w:rsidRPr="00C24D02" w14:paraId="39485B64" w14:textId="77777777" w:rsidTr="003D1A59">
        <w:tc>
          <w:tcPr>
            <w:tcW w:w="2405" w:type="dxa"/>
          </w:tcPr>
          <w:p w14:paraId="78F7B6B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22A3BE3"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27E6E2B2" w14:textId="77777777" w:rsidR="00317816" w:rsidRPr="00C24D02" w:rsidRDefault="00317816" w:rsidP="00317816">
      <w:pPr>
        <w:spacing w:after="144" w:line="360" w:lineRule="auto"/>
        <w:rPr>
          <w:rFonts w:asciiTheme="minorHAnsi" w:hAnsiTheme="minorHAnsi" w:cstheme="minorHAnsi"/>
        </w:rPr>
      </w:pPr>
    </w:p>
    <w:p w14:paraId="5F93988F"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Kritérium PP/SR</w:t>
      </w:r>
    </w:p>
    <w:p w14:paraId="3C50943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7A53F6B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Společenská relevance je podle M2017+ chápána, jak ve smyslu „užitečnosti“ (typicky průmyslový výzkum přinášející ekonomické zisky), tak ve smyslu „potřebnosti“ (typicky výzkum rezortní vznikající na společenskou objednávku.) V souladu s britským hodnocením REF se „Společenskou relevancí se rozumí vliv / změna / přínos a to v oblastech mimo akademickou sféru: ekonomika, společnost, kultura, veřejná správa / služby, zdraví, životní prostředí, kvalita života.“ Cílem hodnocení podle tohoto kritéria je posouzení reálného předpokladu relevance výsledku. </w:t>
      </w:r>
    </w:p>
    <w:p w14:paraId="022DF0A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Ve vašich hodnoceních se opakovaně objevuje informace, že NK ČR dostatečně nezdůvodnila, proč navrhla hodnocení podle tohoto kritéria a že publikace měla být hodnocena spíše z </w:t>
      </w:r>
      <w:r w:rsidRPr="00C24D02">
        <w:rPr>
          <w:rFonts w:asciiTheme="minorHAnsi" w:hAnsiTheme="minorHAnsi" w:cstheme="minorHAnsi"/>
        </w:rPr>
        <w:lastRenderedPageBreak/>
        <w:t xml:space="preserve">hlediska přínosu k poznání (tedy z hlediska tradičního kritéria hodnocení ve VaVaI, které posuzuje originalitu, význam a obtížnost získání výsledku, a je uplatňované zejména na výsledky základního výzkumu). </w:t>
      </w:r>
    </w:p>
    <w:p w14:paraId="3775120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Jsme si plně vědomi, že jde o dílo biografické, nicméně, jak je jasně uvedeno již v anotaci v RIV, jedná se o práci zcela výjimečnou. Publikace se totiž věnuje mimořádné středověké princezně Kunhutě, dceři Přemysla Otakara II., která sehrála řadu významných rolí – byla klariskou pod duchovním vedením sv. Anežky České, abatyší kláštera sv. Jiří, manželkou mazovského vévody a zároveň kulturní iniciátorkou, jež stála za vznikem souboru rukopisů s evropským přesahem. Dílo tak nepředstavuje jen její životní dráhu, ale rovněž unikátní kulturní a umělecký odkaz. Tímto rozsahem a způsobem zpracování je publikace jasně interdisciplinární – propojuje dějiny, literární studia, dějiny umění i kulturní dějiny. Současně připomínáme, že téma středověkých žen je v české historiografii stále zřetelně podreprezentováno a práce tohoto typu proto představuje i odpověď na aktuální společenskou potřebu vyvažovat dlouhodobě převládající mužský pohled na dějiny. Tyto skutečnosti jsou ovšem obecně známé a samy o sobě tak logicky nepatří do konkrétního odůvodnění, proč byl výsledek do hodnocení přihlášen, protože je hodnotitelé nepochybně dobře znají. </w:t>
      </w:r>
    </w:p>
    <w:p w14:paraId="2142541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Publikace svým zaměřením přispívá k posílení historické gramotnosti široké veřejnosti, k popularizaci kulturní a duchovní historie, k překonávání genderových stereotypů a k podpoře zájmu o ženské dějiny, nebo k uchovávání a interpretaci národní identity prostřednictvím kulturní paměti. </w:t>
      </w:r>
    </w:p>
    <w:p w14:paraId="08A0DF4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Proto bylo v Aplikaci SKV bylo přímo uvedeno, že: </w:t>
      </w:r>
    </w:p>
    <w:p w14:paraId="1EA1A5D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„Největší přínos této knihy však je skutečnost, že se jedná o první monografii zaměřenou výhradně na Kunhutu a významně tak přispívá k pochopení postavení žen ve středověku.“ </w:t>
      </w:r>
    </w:p>
    <w:p w14:paraId="3A64122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To podle nás jednoznačně a jasně v Aplikaci SKV potvrzuje, že publikace Kunhuta: královská dcera a svatojiřská abatyše má být hodnocena jako výsledek se zásadní společenskou relevancí. Její hodnocení v kategorii „přínos k poznání“ by bylo metodologicky nesprávné a v rozporu s deklarovanými cíli Metodiky M17+. </w:t>
      </w:r>
    </w:p>
    <w:p w14:paraId="2C19555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Dle stejného kritéria jsou přitom hodnoceny i jiné monografické výsledky (např. Freiwillig, Petr: Světlo a sklo. Závod na lustry v Kamenickém Šenově vydaná Národním památkovým ústavem; Sidun, Radek: Manual of Diacritics: Case studies of newly designed accents for </w:t>
      </w:r>
      <w:r w:rsidRPr="00C24D02">
        <w:rPr>
          <w:rFonts w:asciiTheme="minorHAnsi" w:hAnsiTheme="minorHAnsi" w:cstheme="minorHAnsi"/>
        </w:rPr>
        <w:lastRenderedPageBreak/>
        <w:t xml:space="preserve">contemporary typefaces z Vysoké školy umělecko-průmyslové v Praze; Žákovský, Petr; Bárta, Patrick; Hošek, Jiří: Středověké meče v českých zemích. Meč jako technologický, kulturněhistorický a archeologický fenomén vydaná Archeologickým ústavem AV ČR, Brno, v. v. i.). Nechápeme proto, proč právě náš výsledek je napadán za údajně nesprávné zařazení, zatímco uvedené srovnatelné publikace takto zpochybňovány nejsou. </w:t>
      </w:r>
    </w:p>
    <w:p w14:paraId="62EB7EA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Sami hodnotitelé navíc upozorňují, že publikace má významný praktický i společenský dosah. Konstatují, že je využitelná nejen ve vysokoškolské praxi, ale také ve středoškolské výuce, a to díky vysoké odborné úrovni textu spojené s čtivým a srozumitelným jazykem a přehlednou strukturou. Zároveň zdůrazňují, že zpřístupnění rukopisů tímto způsobem podporuje ochranu vzácných knižních fondů, omezuje potřebu jejich fyzického zpřístupňování a otevírá cestu k jejich dalšímu využití například při přípravě výstav, prezentací či marketingových materiálů. Dílo navíc přispívá k aktuálním debatám o genderových otázkách a vykazuje jednoznačnou společenskou relevanci. Nesouhlasíme tedy, s celkovým hodnocením stupněm 4 a žádáme o řádné zhodnocení výsledku z hlediska obsahového.</w:t>
      </w:r>
    </w:p>
    <w:p w14:paraId="7F67F37C" w14:textId="77777777" w:rsidR="00317816" w:rsidRPr="00C24D02" w:rsidRDefault="00317816" w:rsidP="00317816">
      <w:pPr>
        <w:spacing w:after="144" w:line="360" w:lineRule="auto"/>
        <w:jc w:val="both"/>
        <w:rPr>
          <w:rFonts w:asciiTheme="minorHAnsi" w:hAnsiTheme="minorHAnsi" w:cstheme="minorHAnsi"/>
        </w:rPr>
      </w:pPr>
      <w:bookmarkStart w:id="42" w:name="_Hlk218302969"/>
      <w:r w:rsidRPr="00C24D02">
        <w:rPr>
          <w:rFonts w:asciiTheme="minorHAnsi" w:hAnsiTheme="minorHAnsi" w:cstheme="minorHAnsi"/>
          <w:u w:val="single"/>
        </w:rPr>
        <w:t>Stanovisko garanta</w:t>
      </w:r>
      <w:r w:rsidRPr="00C24D02">
        <w:rPr>
          <w:rFonts w:asciiTheme="minorHAnsi" w:hAnsiTheme="minorHAnsi" w:cstheme="minorHAnsi"/>
        </w:rPr>
        <w:t xml:space="preserve">: </w:t>
      </w:r>
      <w:bookmarkEnd w:id="42"/>
      <w:r w:rsidRPr="00C24D02">
        <w:rPr>
          <w:rFonts w:asciiTheme="minorHAnsi" w:hAnsiTheme="minorHAnsi" w:cstheme="minorHAnsi"/>
        </w:rPr>
        <w:t>Námitka spočívala v rozporování špatného hodnocení pod kritériem „společenská relevance“.</w:t>
      </w:r>
    </w:p>
    <w:p w14:paraId="51F4DC2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Kritérium „společenská relevance“ v humanitních vědách znamená citlivé posouzení toho, zda dílo přispělo nebo by mohlo přispět k měřitelnému posunu ve směru veřejného zájmu, a to zohlednění skutečnosti, že jde o posun nesnadno měřitelný, zvláště pro svůj ne-finanční ráz. Hodnocené dílo podle názoru hodnotitelů i evaluačního panelu v této kategorii nárok na měřitelný posun nesplňuje zvláště proto, že hodnocený výsledek má ráz akademického badatelského výsledku bez patrné snahy, jakkoliv explicitně veřejnosti výstupy výsledku nabídnout k dalšímu využití. Pod pojmem explicitní nabídky je míněna markantní snaha zjistit společenskou poptávku po výsledku podobného typu a tematického zaměření, na tuto poptávku reagovat atd. Pokud je tedy v námitce uvedeno, že dílo je využitelné ve vysokoškolské nebo dokonce středoškolské výuce, pak je třeba důrazně připomenout, že aby učitel skutečně dílo ve výuce využil, muselo by obsahovat řadu v současné oborové didaktice zcela standardních  a nepominutelných atributů (jinak totiž dílo nemá šanci ve veliké konkurenci obstát), tj. např. návodných informací pro učitele k využití textu, vazbu na RVP a ŠVP, evokační část k využití díla v pedagogické praxi, agendu kriteriálního hodnocení progresu </w:t>
      </w:r>
      <w:r w:rsidRPr="00C24D02">
        <w:rPr>
          <w:rFonts w:asciiTheme="minorHAnsi" w:hAnsiTheme="minorHAnsi" w:cstheme="minorHAnsi"/>
        </w:rPr>
        <w:lastRenderedPageBreak/>
        <w:t>v žákovském učení apod. Hodnocený výsledek tyto znaky neobsahuje. Hodnocená organizace ani nepředložila relevantní důkazy o tom, že by dílo bylo skutečně ve výuce využíváno.</w:t>
      </w:r>
    </w:p>
    <w:p w14:paraId="39AF753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1B3010FA" w14:textId="77777777" w:rsidR="00317816" w:rsidRPr="00C24D02" w:rsidRDefault="00317816" w:rsidP="00317816">
      <w:pPr>
        <w:spacing w:before="240" w:after="144" w:line="360" w:lineRule="auto"/>
        <w:jc w:val="both"/>
        <w:rPr>
          <w:rFonts w:asciiTheme="minorHAnsi" w:hAnsiTheme="minorHAnsi" w:cstheme="minorHAnsi"/>
          <w:bCs/>
        </w:rPr>
      </w:pPr>
      <w:bookmarkStart w:id="43" w:name="_Hlk214978117"/>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bookmarkEnd w:id="43"/>
      <w:r w:rsidRPr="00C24D02">
        <w:rPr>
          <w:rFonts w:asciiTheme="minorHAnsi" w:hAnsiTheme="minorHAnsi" w:cstheme="minorHAnsi"/>
          <w:bCs/>
        </w:rPr>
        <w:t>bez vyjádření.</w:t>
      </w:r>
    </w:p>
    <w:p w14:paraId="35D1A7FC" w14:textId="36AFE82E" w:rsidR="00317816" w:rsidRPr="00D054AE" w:rsidRDefault="00317816" w:rsidP="00D054AE">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Dílo není didakticky přívětivě, aby mohlo mít přímý dopad ve výuce. Problémem je ale i nízká vědecká kvalita výstupu, který by neměl být příkladem pro vysokoškolské studenty.</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E17D20B" w14:textId="77777777" w:rsidTr="003D1A59">
        <w:tc>
          <w:tcPr>
            <w:tcW w:w="2405" w:type="dxa"/>
          </w:tcPr>
          <w:p w14:paraId="4726481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2A8502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Technická univerzita v Liberci</w:t>
            </w:r>
          </w:p>
        </w:tc>
      </w:tr>
      <w:tr w:rsidR="00317816" w:rsidRPr="00C24D02" w14:paraId="0DA6A109" w14:textId="77777777" w:rsidTr="003D1A59">
        <w:tc>
          <w:tcPr>
            <w:tcW w:w="2405" w:type="dxa"/>
          </w:tcPr>
          <w:p w14:paraId="62E1BCB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911DF0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192434205</w:t>
            </w:r>
          </w:p>
        </w:tc>
      </w:tr>
      <w:tr w:rsidR="00317816" w:rsidRPr="00C24D02" w14:paraId="40293B7F" w14:textId="77777777" w:rsidTr="003D1A59">
        <w:trPr>
          <w:trHeight w:val="741"/>
        </w:trPr>
        <w:tc>
          <w:tcPr>
            <w:tcW w:w="2405" w:type="dxa"/>
          </w:tcPr>
          <w:p w14:paraId="4C7C894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0ABF6D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Technologie výroby plošného nanovlákenného materiálu</w:t>
            </w:r>
          </w:p>
        </w:tc>
      </w:tr>
      <w:tr w:rsidR="00317816" w:rsidRPr="00C24D02" w14:paraId="0E3C2D65" w14:textId="77777777" w:rsidTr="003D1A59">
        <w:tc>
          <w:tcPr>
            <w:tcW w:w="2405" w:type="dxa"/>
          </w:tcPr>
          <w:p w14:paraId="08DC431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507906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0ED02AC3" w14:textId="77777777" w:rsidTr="003D1A59">
        <w:tc>
          <w:tcPr>
            <w:tcW w:w="2405" w:type="dxa"/>
          </w:tcPr>
          <w:p w14:paraId="35A62AF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2CB5D8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36B4910E" w14:textId="77777777" w:rsidTr="003D1A59">
        <w:tc>
          <w:tcPr>
            <w:tcW w:w="2405" w:type="dxa"/>
          </w:tcPr>
          <w:p w14:paraId="6305341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25"/>
            </w:r>
            <w:r w:rsidRPr="00C24D02">
              <w:rPr>
                <w:rFonts w:asciiTheme="minorHAnsi" w:eastAsia="Calibri" w:hAnsiTheme="minorHAnsi" w:cstheme="minorHAnsi"/>
              </w:rPr>
              <w:t>)</w:t>
            </w:r>
          </w:p>
        </w:tc>
        <w:tc>
          <w:tcPr>
            <w:tcW w:w="6378" w:type="dxa"/>
          </w:tcPr>
          <w:p w14:paraId="59AC012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3/3/-/3</w:t>
            </w:r>
          </w:p>
        </w:tc>
      </w:tr>
      <w:tr w:rsidR="00317816" w:rsidRPr="00C24D02" w14:paraId="29FB71CA" w14:textId="77777777" w:rsidTr="003D1A59">
        <w:tc>
          <w:tcPr>
            <w:tcW w:w="2405" w:type="dxa"/>
          </w:tcPr>
          <w:p w14:paraId="482D8AC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6327D3E"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2.</w:t>
            </w:r>
          </w:p>
        </w:tc>
      </w:tr>
    </w:tbl>
    <w:p w14:paraId="2E492A0D" w14:textId="77777777" w:rsidR="00317816" w:rsidRPr="00C24D02" w:rsidRDefault="00317816" w:rsidP="00317816">
      <w:pPr>
        <w:spacing w:after="144" w:line="360" w:lineRule="auto"/>
        <w:rPr>
          <w:rFonts w:asciiTheme="minorHAnsi" w:hAnsiTheme="minorHAnsi" w:cstheme="minorHAnsi"/>
        </w:rPr>
      </w:pPr>
    </w:p>
    <w:p w14:paraId="47DEFC2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Absence doloženého mezinárodního ekonomického dopadu</w:t>
      </w:r>
    </w:p>
    <w:p w14:paraId="507B5BC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77D8AD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Opíráme se o kvalitativní stupnici Metodiky 17+ pro kritérium „společenská relevance“, která u známky 2 (vynikající úroveň) výslovně uvádí „změnu s mezinárodním ekonomickým dopadem (reálný předpoklad uplatnění na zahraničním trhu atd.)“ nebo „změnu s významným </w:t>
      </w:r>
      <w:r w:rsidRPr="00C24D02">
        <w:rPr>
          <w:rFonts w:asciiTheme="minorHAnsi" w:hAnsiTheme="minorHAnsi" w:cstheme="minorHAnsi"/>
        </w:rPr>
        <w:lastRenderedPageBreak/>
        <w:t xml:space="preserve">dopadem na společnost (reálný předpoklad zásadního uplatnění v oblastech veřejného zájmu)“. </w:t>
      </w:r>
    </w:p>
    <w:p w14:paraId="1643F28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Klíčové skutečnosti dokládající známku 2 </w:t>
      </w:r>
    </w:p>
    <w:p w14:paraId="47BC2D7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1. Prokázaný společenský dopad ve veřejném zájmu (COVID-19). </w:t>
      </w:r>
    </w:p>
    <w:p w14:paraId="1929E55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Na počátku pandemie COVID-19 vznikla urgentní potřeba účinných ochranných prostředků pro obyvatelstvo. V reakci na tuto potřebu se Technická univerzita v Liberci (TUL) aktivně zapojila do vývoje a výroby nanovlákenných filtrů, které byly široce medializovány jako efektivní nástroj ochrany zdraví obyvatelstva. Předmětná technologie byla v rané fázi vývoje využita pro výrobu filtračního materiálu zachycujícího viry a bakterie pro ochranné prostředky proti COVID-19 (materiál pro roušky/filtry pro potřeby Libereckého kraje; denní produkce odpovídající cca 6 000 rouškám nebo až 20 000 filtrům). Tyto skutečnosti dokumentují přímý dopad na ochranu obyvatelstva v době krizové situace a jedná se o významný příklad společenské relevance. Tento přínos odpovídá stupni hodnocení 2, který definuje výsledek jako „na vynikající úrovni (excellent), jehož využití v praxi přinese změnu s významným dopadem na společnost (reálný předpoklad zásadního uplatnění v oblastech veřejného zájmu)“. V kontextu krizového nasazení předmětné technologie pro ochranu veřejného zdraví je obtížné si představit výsledek s vyšším společenským dopadem ve veřejném zájmu, který by mohl být předložen v rámci hodnocení M17+. </w:t>
      </w:r>
    </w:p>
    <w:p w14:paraId="774FCE4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2. Mezinárodní ekonomický dopad – patentová ochrana a uplatnění na zahraničních trzích. </w:t>
      </w:r>
    </w:p>
    <w:p w14:paraId="4BAAA42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Výsledek stojí na nové technologii AC electrospinningu s uděleným evropským patentem EP 4225982 B1 (datum zveřejnění 29. 5. 2024) s označením širokého okruhu smluvních států EPC; probíhá přechod do národních fází v klíčových evropských zemích (DE, FR, GB, ES, IT, CZ). Tím je zajištěn rámec pro komercializaci na zahraničních trzích. </w:t>
      </w:r>
    </w:p>
    <w:p w14:paraId="6C679AD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Na předchozí základní patentové rodině (WO2014094694) byly uděleny národní patenty v USA, Číně, Japonsku a Rusku a dřívější evropský patent EP2931951 s uplatněním v řadě států; to dále posiluje mezinárodní IP postavení výsledku a jeho exportní potenciál. </w:t>
      </w:r>
    </w:p>
    <w:p w14:paraId="5DAD33C7" w14:textId="77777777" w:rsidR="00317816" w:rsidRPr="00C24D02" w:rsidRDefault="00317816" w:rsidP="00317816">
      <w:pPr>
        <w:spacing w:after="144" w:line="360" w:lineRule="auto"/>
        <w:jc w:val="both"/>
        <w:rPr>
          <w:rFonts w:asciiTheme="minorHAnsi" w:hAnsiTheme="minorHAnsi" w:cstheme="minorHAnsi"/>
          <w:b/>
          <w:bCs/>
        </w:rPr>
      </w:pPr>
      <w:r w:rsidRPr="00C24D02">
        <w:rPr>
          <w:rFonts w:asciiTheme="minorHAnsi" w:hAnsiTheme="minorHAnsi" w:cstheme="minorHAnsi"/>
          <w:b/>
          <w:bCs/>
        </w:rPr>
        <w:t xml:space="preserve">3. Prokázané vazby na globálního průmyslového partnera </w:t>
      </w:r>
    </w:p>
    <w:p w14:paraId="58A8405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 xml:space="preserve">nanovlákenné vrstvy a membrány; je uzavřena smlouva o spolupráci na vývoji nové kompozitní membrány kombinující AC a DC zvlákňování. To je přímý most k mezinárodnímu trhu strojů a materiálů a důkaz reálného předpokladu zahraničního uplatnění. </w:t>
      </w:r>
    </w:p>
    <w:p w14:paraId="49B85A4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4. Exportní orientace aplikačního partnera. </w:t>
      </w:r>
    </w:p>
    <w:p w14:paraId="406B995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Z přiloženého prohlášení firmy NanoMedical s.r.o. vyplývá exportní zaměření výroby a realizace dodávek do zahraničí. Díky implementaci nové technologie firma NanoMedical s.r.o. významně posílila svou konkurenceschopnost na globálním trhu, neboť obdobná řešení nejsou jinde využívána. To naplňuje požadavek Metodiky 17+ na „reálný předpoklad uplatnění na zahraničním trhu“. Další firma, která využívá předmětné technologie je firma Elmarco, přední světový výrobce strojů pro elektrické zvlákňování. Jeho produkce jde především na zahraniční trhy. </w:t>
      </w:r>
    </w:p>
    <w:p w14:paraId="7AE5EEF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5. Průmyslová připravenost a ověřené parametry. </w:t>
      </w:r>
    </w:p>
    <w:p w14:paraId="620CCC6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Technologie je implementována na průmyslové lince šíře 1600 mm s kontinuální produkcí a doloženým protokolem o ověření; existuje uživatelský manuál linky MAC spinner (bezpečnostní a provozní postupy), což odpovídá ověřené technologii s jasným transferem do praxe. </w:t>
      </w:r>
    </w:p>
    <w:p w14:paraId="200A431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Provedená ověření pro oblast filtrace dosahují tříd F9 / ePM1 85–95 % dle EN 779/ISO 16890, dále byly ověřeny i aplikační směry mimo filtraci (např. membrány s insekticidem). </w:t>
      </w:r>
    </w:p>
    <w:p w14:paraId="44BCA19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6. Významná produktivitní změna – ekonomický efekt. </w:t>
      </w:r>
    </w:p>
    <w:p w14:paraId="1391298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Ve srovnání s DC electrospinningem technologie dosahuje řádově desetinásobného zvýšení produktivity výroby plošných nanovlákenných materiálů, což se přímo promítá do snížení jednotkových nákladů, zvýšení dostupnosti a konkurenceschopnosti na mezinárodním trhu….</w:t>
      </w:r>
    </w:p>
    <w:p w14:paraId="42F3E96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Mezinárodní dopad je dokladován pouze jednostránkovým dokumentem „Prohlášení o využití výsledku VaV“ od společnosti Nano Medical, který je ovšem potvrzuje pouze využití v rámci ČR. Dále potom podpis trojstranné dohody se zahraniční partnerem, avšak bez konkrétních detailů. Využití výsledku v mezinárodním měřítku tedy není jasně prokázáno. Rovněž existence mezinárodního patentu sama o sobě neprokazuje využití výsledku jako takového. Toto využití je třeba prokázat licenční smlouvou či podobně. Hodnocení úrovní 3 proto považuji za adekvátní.</w:t>
      </w:r>
    </w:p>
    <w:p w14:paraId="224EE752"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lastRenderedPageBreak/>
        <w:t xml:space="preserve">Vyjádření Odborného panelu: </w:t>
      </w:r>
      <w:r w:rsidRPr="00C24D02">
        <w:rPr>
          <w:rFonts w:asciiTheme="minorHAnsi" w:hAnsiTheme="minorHAnsi" w:cstheme="minorHAnsi"/>
        </w:rPr>
        <w:t>Panel navrhuje námitce nevyhovět a ponechat původní hodnocení stupněm 3.</w:t>
      </w:r>
    </w:p>
    <w:p w14:paraId="480CFDC5"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bCs/>
        </w:rPr>
        <w:t>bez vyjádření.</w:t>
      </w:r>
    </w:p>
    <w:p w14:paraId="2F1DD4E3" w14:textId="156B0940" w:rsidR="00317816" w:rsidRPr="00D054AE" w:rsidRDefault="00317816" w:rsidP="00D054AE">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nesouhlasí se zachováním původního hodnocení a navrhuje přehodnocení výsledku stupněm 2. Text hodnotících posudků neodpovídá původně udělené známce. Jedná se o ověřenou technologii, u které bylo doloženo praktické použití a význam v národním měřítku.</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8BDEE1B" w14:textId="77777777" w:rsidTr="003D1A59">
        <w:tc>
          <w:tcPr>
            <w:tcW w:w="2405" w:type="dxa"/>
          </w:tcPr>
          <w:p w14:paraId="267CCF2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D22BD1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Technická univerzita v Liberci</w:t>
            </w:r>
          </w:p>
        </w:tc>
      </w:tr>
      <w:tr w:rsidR="00317816" w:rsidRPr="00C24D02" w14:paraId="6DEBD72A" w14:textId="77777777" w:rsidTr="003D1A59">
        <w:tc>
          <w:tcPr>
            <w:tcW w:w="2405" w:type="dxa"/>
          </w:tcPr>
          <w:p w14:paraId="0964633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B3F13E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192273893</w:t>
            </w:r>
          </w:p>
        </w:tc>
      </w:tr>
      <w:tr w:rsidR="00317816" w:rsidRPr="00C24D02" w14:paraId="204ECEE4" w14:textId="77777777" w:rsidTr="003D1A59">
        <w:trPr>
          <w:trHeight w:val="741"/>
        </w:trPr>
        <w:tc>
          <w:tcPr>
            <w:tcW w:w="2405" w:type="dxa"/>
          </w:tcPr>
          <w:p w14:paraId="0BAA5A7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15DA34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Technologie pro efektivní výrobu plastových obalů</w:t>
            </w:r>
            <w:bookmarkStart w:id="44" w:name="_Hlk218604490"/>
            <w:bookmarkEnd w:id="44"/>
          </w:p>
        </w:tc>
      </w:tr>
      <w:tr w:rsidR="00317816" w:rsidRPr="00C24D02" w14:paraId="2E467E96" w14:textId="77777777" w:rsidTr="003D1A59">
        <w:tc>
          <w:tcPr>
            <w:tcW w:w="2405" w:type="dxa"/>
          </w:tcPr>
          <w:p w14:paraId="0A63B55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2E31243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04AED1E9" w14:textId="77777777" w:rsidTr="003D1A59">
        <w:tc>
          <w:tcPr>
            <w:tcW w:w="2405" w:type="dxa"/>
          </w:tcPr>
          <w:p w14:paraId="617313F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16D1AB8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0D138AA7" w14:textId="77777777" w:rsidTr="003D1A59">
        <w:tc>
          <w:tcPr>
            <w:tcW w:w="2405" w:type="dxa"/>
          </w:tcPr>
          <w:p w14:paraId="41B7860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26"/>
            </w:r>
            <w:r w:rsidRPr="00C24D02">
              <w:rPr>
                <w:rFonts w:asciiTheme="minorHAnsi" w:eastAsia="Calibri" w:hAnsiTheme="minorHAnsi" w:cstheme="minorHAnsi"/>
              </w:rPr>
              <w:t>)</w:t>
            </w:r>
          </w:p>
        </w:tc>
        <w:tc>
          <w:tcPr>
            <w:tcW w:w="6378" w:type="dxa"/>
          </w:tcPr>
          <w:p w14:paraId="389D7EB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3/4/-/4</w:t>
            </w:r>
          </w:p>
        </w:tc>
      </w:tr>
      <w:tr w:rsidR="00317816" w:rsidRPr="00C24D02" w14:paraId="315ABF11" w14:textId="77777777" w:rsidTr="003D1A59">
        <w:tc>
          <w:tcPr>
            <w:tcW w:w="2405" w:type="dxa"/>
          </w:tcPr>
          <w:p w14:paraId="41BADD6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8CD26EA"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3.</w:t>
            </w:r>
          </w:p>
        </w:tc>
      </w:tr>
    </w:tbl>
    <w:p w14:paraId="0160C3C6" w14:textId="77777777" w:rsidR="00317816" w:rsidRPr="00C24D02" w:rsidRDefault="00317816" w:rsidP="00317816">
      <w:pPr>
        <w:spacing w:after="144" w:line="360" w:lineRule="auto"/>
        <w:rPr>
          <w:rFonts w:asciiTheme="minorHAnsi" w:hAnsiTheme="minorHAnsi" w:cstheme="minorHAnsi"/>
        </w:rPr>
      </w:pPr>
    </w:p>
    <w:p w14:paraId="7843392D"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Skutečná kvalita výsledku</w:t>
      </w:r>
    </w:p>
    <w:p w14:paraId="45F560A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718A661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Kvalitativní stupnice pro hodnocení výsledků podle kritéria „společenská relevance“ je </w:t>
      </w:r>
      <w:r w:rsidRPr="00C24D02">
        <w:rPr>
          <w:rFonts w:asciiTheme="minorHAnsi" w:hAnsiTheme="minorHAnsi" w:cstheme="minorHAnsi"/>
        </w:rPr>
        <w:t xml:space="preserve">stanovena </w:t>
      </w:r>
      <w:r w:rsidRPr="00C24D02">
        <w:rPr>
          <w:rFonts w:asciiTheme="minorHAnsi" w:hAnsiTheme="minorHAnsi" w:cstheme="minorHAnsi"/>
          <w:b/>
          <w:bCs/>
        </w:rPr>
        <w:t xml:space="preserve">v Metodice </w:t>
      </w:r>
      <w:r w:rsidRPr="00C24D02">
        <w:rPr>
          <w:rFonts w:asciiTheme="minorHAnsi" w:hAnsiTheme="minorHAnsi" w:cstheme="minorHAnsi"/>
        </w:rPr>
        <w:t xml:space="preserve">hodnocení výzkumných organizací a hodnocení programů účelové podpory výzkumu, vývoje a inovací schválené Usnesením vlády ČR č. 107 ze dne 8. února 2017….. </w:t>
      </w:r>
    </w:p>
    <w:p w14:paraId="657BAF1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Dle kvalitativní stupnice pro hodnocení výsledků se jedná o výsledek na velmi dobré úrovni, jehož využití v praxi přinese změnu s ekonomickým dopadem na českém trhu, což reflektuje známku 3 na základě Metodiky 17+ a oba hodnotitelé i Panelista Garant to nerozporuje.</w:t>
      </w:r>
    </w:p>
    <w:p w14:paraId="54F8CF4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Hodnotitel H1 velmi dobře vystihl podstatu předloženého výsledku</w:t>
      </w:r>
      <w:r w:rsidRPr="00C24D02">
        <w:rPr>
          <w:rFonts w:asciiTheme="minorHAnsi" w:hAnsiTheme="minorHAnsi" w:cstheme="minorHAnsi"/>
        </w:rPr>
        <w:t xml:space="preserve">, který se týká unikátní technologie pro efektivní výrobu plastových obalů/tubusů, kterou nyní úspěšně využívá ve své produkční lince česká firma Obalplast. Hodnotitel jasně uvádí, že absolutní unikátnost TEVPO spočívá v jejím zcela novém konstrukčním řešení vyvinutém na TUL- jde o </w:t>
      </w:r>
      <w:r w:rsidRPr="00C24D02">
        <w:rPr>
          <w:rFonts w:asciiTheme="minorHAnsi" w:hAnsiTheme="minorHAnsi" w:cstheme="minorHAnsi"/>
          <w:b/>
          <w:bCs/>
        </w:rPr>
        <w:t xml:space="preserve">technologii využívající kontinuální princip svařování plastových folií horkým tělesem. Tato technologie je v porovnání se stávajícími technologiemi zcela neúsporonější. TEVPO z tohoho důvodu přináší nejen ekonomické, ale i environmentální přínosy, má širší společenský dopad a naplňuje principy udržitelné výroby. </w:t>
      </w:r>
      <w:r w:rsidRPr="00C24D02">
        <w:rPr>
          <w:rFonts w:asciiTheme="minorHAnsi" w:hAnsiTheme="minorHAnsi" w:cstheme="minorHAnsi"/>
        </w:rPr>
        <w:t>TEVPO umožňuje malým i středním podnikům jako je firma Obalplast využívat zcela originální ekonomicky efektivní technologii umožňující vyrábět plastové tubusy (ze standardních a recyklovaných plastů) různých průměrů pro převoz různých objemných a těžkých kovových částí a tím zvýšit produktový sortiment v národním i mezinárodním měřítku. Ověřená technologie TEVPO vyrábí tubusy už několik let pro sortimenty vyvážené do evropských a asijských zemí.</w:t>
      </w:r>
    </w:p>
    <w:p w14:paraId="6835EE4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Hodnotitel H2, konstatuje, že bylo vyrobeno již přes 10 000 tis. tubusů a proto konstatuje, že využití dosaženého výsledku v praxi přineslo dílčí změnu s ekonomickým dopadem na českém trhu. S tím lze naprosto souhlasit, protože podle vedení firmy Obalplast Smrčí s.r.o. je po plastových obalových produktech velká poptávka a firmě se významně zvýšily tržby. Proto by ověřených technologií TEVPO potřebovali více a tím by dále cíleně zvyšovali ekonomický dopad na český a mezinárodní trh. </w:t>
      </w:r>
      <w:r w:rsidRPr="00C24D02">
        <w:rPr>
          <w:rFonts w:asciiTheme="minorHAnsi" w:hAnsiTheme="minorHAnsi" w:cstheme="minorHAnsi"/>
          <w:b/>
          <w:bCs/>
        </w:rPr>
        <w:t>Z toho plyne, že výsledek je na velmi dobré úrovni a zcela odpovídá hodnocení 3</w:t>
      </w:r>
      <w:r w:rsidRPr="00C24D02">
        <w:rPr>
          <w:rFonts w:asciiTheme="minorHAnsi" w:hAnsiTheme="minorHAnsi" w:cstheme="minorHAnsi"/>
        </w:rPr>
        <w:t>.</w:t>
      </w:r>
    </w:p>
    <w:p w14:paraId="7802044F" w14:textId="77777777" w:rsidR="00317816" w:rsidRPr="00C24D02" w:rsidRDefault="00317816" w:rsidP="00317816">
      <w:pPr>
        <w:spacing w:after="144" w:line="360" w:lineRule="auto"/>
        <w:jc w:val="both"/>
        <w:rPr>
          <w:rFonts w:asciiTheme="minorHAnsi" w:hAnsiTheme="minorHAnsi" w:cstheme="minorHAnsi"/>
          <w:u w:val="single"/>
        </w:rPr>
      </w:pPr>
    </w:p>
    <w:p w14:paraId="006C3C9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Stanovisko garanta je na pomezí úrovní 3 a 4. Konečné rozhodnutí garanta pro úroveň 4 vychází z toho, že v rámci předložené dokumentace je doloženo využití technologie, avšak ekonomické ukazatele, např. deklarované nárůsty tržeb doloženy nejsou. Při hodnocení vychází hodnotitelé pouze z předložené dokumentace, která tyto údaje neobsahuje. Hodnocení H1 obsahuje pozitivní komentář, jak je akcentováno předkladatelem, avšak rovněž některé komentáře negativní: „konstrukce jedná se dle mého názoru o dílo, jež </w:t>
      </w:r>
      <w:r w:rsidRPr="00C24D02">
        <w:rPr>
          <w:rFonts w:asciiTheme="minorHAnsi" w:hAnsiTheme="minorHAnsi" w:cstheme="minorHAnsi"/>
        </w:rPr>
        <w:lastRenderedPageBreak/>
        <w:t>je výsledkem běžného konstrukčního procesu a zcela standardních výrobních a analytických aktivit a nemá žádný prokazatelný významnější VaV přínos v dané oblasti“ nebo „předložený výsledek je především výsledkem inovačního a konstrukčního procesu a v oblasti VaV bohužel nepřináší nic zásadně nového a převratného. Využívá především již známe principy a běžně dostupné komponenty“. Z uvedených důvodů považuji hodnocení úrovní 4 za adekvátní.</w:t>
      </w:r>
    </w:p>
    <w:p w14:paraId="535D4A4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3CF7E621"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bCs/>
        </w:rPr>
        <w:t>bez vyjádření.</w:t>
      </w:r>
    </w:p>
    <w:p w14:paraId="12F78307" w14:textId="464E9C3D" w:rsidR="00317816" w:rsidRPr="00D054AE" w:rsidRDefault="00317816" w:rsidP="00D054AE">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se neztotožňuje s názorem panelu a navrhuje přehodnocení výsledku stupněm 3, kterému textové hodnocení spíše odpovídá.</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35DE4E80" w14:textId="77777777" w:rsidTr="003D1A59">
        <w:tc>
          <w:tcPr>
            <w:tcW w:w="2405" w:type="dxa"/>
          </w:tcPr>
          <w:p w14:paraId="3C6A4F0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55659A5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Technická univerzita v Liberci</w:t>
            </w:r>
          </w:p>
        </w:tc>
      </w:tr>
      <w:tr w:rsidR="00317816" w:rsidRPr="00C24D02" w14:paraId="0B5E39A6" w14:textId="77777777" w:rsidTr="003D1A59">
        <w:tc>
          <w:tcPr>
            <w:tcW w:w="2405" w:type="dxa"/>
          </w:tcPr>
          <w:p w14:paraId="2C76510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20E584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192453350</w:t>
            </w:r>
          </w:p>
        </w:tc>
      </w:tr>
      <w:tr w:rsidR="00317816" w:rsidRPr="00C24D02" w14:paraId="5340AA33" w14:textId="77777777" w:rsidTr="003D1A59">
        <w:trPr>
          <w:trHeight w:val="741"/>
        </w:trPr>
        <w:tc>
          <w:tcPr>
            <w:tcW w:w="2405" w:type="dxa"/>
          </w:tcPr>
          <w:p w14:paraId="38D6473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0F76950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Přípravek pro analýzu membrán</w:t>
            </w:r>
            <w:bookmarkStart w:id="45" w:name="_Hlk218604585"/>
            <w:bookmarkEnd w:id="45"/>
          </w:p>
        </w:tc>
      </w:tr>
      <w:tr w:rsidR="00317816" w:rsidRPr="00C24D02" w14:paraId="28BCB947" w14:textId="77777777" w:rsidTr="003D1A59">
        <w:tc>
          <w:tcPr>
            <w:tcW w:w="2405" w:type="dxa"/>
          </w:tcPr>
          <w:p w14:paraId="72CE533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05C873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74FF7AE5" w14:textId="77777777" w:rsidTr="003D1A59">
        <w:tc>
          <w:tcPr>
            <w:tcW w:w="2405" w:type="dxa"/>
          </w:tcPr>
          <w:p w14:paraId="6B1CA05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440621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2B5EE7F5" w14:textId="77777777" w:rsidTr="003D1A59">
        <w:tc>
          <w:tcPr>
            <w:tcW w:w="2405" w:type="dxa"/>
          </w:tcPr>
          <w:p w14:paraId="081A970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27"/>
            </w:r>
            <w:r w:rsidRPr="00C24D02">
              <w:rPr>
                <w:rFonts w:asciiTheme="minorHAnsi" w:eastAsia="Calibri" w:hAnsiTheme="minorHAnsi" w:cstheme="minorHAnsi"/>
              </w:rPr>
              <w:t>)</w:t>
            </w:r>
          </w:p>
        </w:tc>
        <w:tc>
          <w:tcPr>
            <w:tcW w:w="6378" w:type="dxa"/>
          </w:tcPr>
          <w:p w14:paraId="7F20E0D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3/5/4/4</w:t>
            </w:r>
          </w:p>
        </w:tc>
      </w:tr>
      <w:tr w:rsidR="00317816" w:rsidRPr="00C24D02" w14:paraId="618EC89D" w14:textId="77777777" w:rsidTr="003D1A59">
        <w:tc>
          <w:tcPr>
            <w:tcW w:w="2405" w:type="dxa"/>
          </w:tcPr>
          <w:p w14:paraId="72F5770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DE4E76B"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3DB31995" w14:textId="77777777" w:rsidR="00317816" w:rsidRPr="00C24D02" w:rsidRDefault="00317816" w:rsidP="00317816">
      <w:pPr>
        <w:spacing w:after="144" w:line="360" w:lineRule="auto"/>
        <w:rPr>
          <w:rFonts w:asciiTheme="minorHAnsi" w:hAnsiTheme="minorHAnsi" w:cstheme="minorHAnsi"/>
        </w:rPr>
      </w:pPr>
    </w:p>
    <w:p w14:paraId="1AE94E36"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Kvalitativní stupnice u kritéria SR</w:t>
      </w:r>
    </w:p>
    <w:p w14:paraId="036A225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9B54532"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 xml:space="preserve">….Předkládaný funkční vzorek „Přípravek pro analýzu membrán“ řeší unikátní problém kontroly kvality perforace na průhledných aeračních membránách a na rozdíl od konvenčních </w:t>
      </w:r>
      <w:r w:rsidRPr="00C24D02">
        <w:rPr>
          <w:rFonts w:asciiTheme="minorHAnsi" w:hAnsiTheme="minorHAnsi" w:cstheme="minorHAnsi"/>
          <w:bCs/>
        </w:rPr>
        <w:lastRenderedPageBreak/>
        <w:t xml:space="preserve">metod poskytuje rychlé a přesné výsledky, minimalizující lidský faktor. Výsledek, vyvinutý na základě poptávky společnosti Vodní energie s.r.o., přinesl prokazatelné zlepšení výrobního procesu i kvality finálních produktů a má měřitelný mezinárodní ekonomický dopad, doložený exportem aeračních membrán do 18 zemí. </w:t>
      </w:r>
    </w:p>
    <w:p w14:paraId="5A2C48DC"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 xml:space="preserve">Výsledek tak prokazatelně naplňuje základní hodnotící kritéria pro stupeň 3 (Velmi dobrá úroveň), jelikož přináší prokazatelnou změnu s ekonomickým dopadem na českém trhu, a s ohledem na mezinárodní dopad pravděpodobně i stupeň 2 (Vynikající úroveň), jak naznačil sám Hodnotitel H1. </w:t>
      </w:r>
    </w:p>
    <w:p w14:paraId="6FF3F483"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S ohledem na doložené skutečnosti, zjevnou nekonzistenci dílčích posudků a nedostatečné zohlednění mezinárodního dopadu a náročnosti unikátního technického řešení, žádáme o revizi hodnocení předloženého výsledku, neboť výsledek dle metodiky 17+ naplňuje základní hodnotící kritéria minimálně dle známky 3.</w:t>
      </w:r>
    </w:p>
    <w:p w14:paraId="7CF8489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Deklarované mezinárodní využití výsledku, resp. skutečnost, že aretační membrány, pro jejichž kontrolu je výsledek (přípravek pro analýzu membrán) využíván jsou exportovány do 18 zemí světa je doloženo pouhým konstatováním v rozsahu jedné věty, bez podrobností či konkrétních detailů. Zejména se zde jedná o ekonomické či obdobné ukazatele, dokladující míru aplikačního potenciálu. Doložení takto významného aplikačního potenciálu musí být provedeno řádným způsobem, nikoliv pouhým stručným konstatováním. Toto doložení musí být součástí předložené dokumentace. Z uvedeného důvodu považuji udělené hodnocení úrovní 4 za adekvátní.</w:t>
      </w:r>
    </w:p>
    <w:p w14:paraId="5C04A9A2"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39EC864A" w14:textId="77777777" w:rsidR="00317816" w:rsidRPr="00C24D02" w:rsidRDefault="00317816" w:rsidP="00317816">
      <w:pPr>
        <w:spacing w:before="240" w:after="144" w:line="360" w:lineRule="auto"/>
        <w:jc w:val="both"/>
        <w:rPr>
          <w:rFonts w:asciiTheme="minorHAnsi" w:hAnsiTheme="minorHAnsi" w:cstheme="minorHAnsi"/>
          <w:b/>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157F80FA" w14:textId="50CCAEA5" w:rsidR="00317816" w:rsidRPr="00D054AE" w:rsidRDefault="00317816" w:rsidP="00D054AE">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 KHV nerozporuje kvalitu a dopad výsledku, ale pro potřeby hodnocení je nutné obojí detailněji doložit.</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201CD1F" w14:textId="77777777" w:rsidTr="003D1A59">
        <w:tc>
          <w:tcPr>
            <w:tcW w:w="2405" w:type="dxa"/>
          </w:tcPr>
          <w:p w14:paraId="5783A1A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FDE662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UPOL - Filozofická fakulta</w:t>
            </w:r>
          </w:p>
        </w:tc>
      </w:tr>
      <w:tr w:rsidR="00317816" w:rsidRPr="00C24D02" w14:paraId="759532E7" w14:textId="77777777" w:rsidTr="003D1A59">
        <w:tc>
          <w:tcPr>
            <w:tcW w:w="2405" w:type="dxa"/>
          </w:tcPr>
          <w:p w14:paraId="5A26E7E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Evidenční číslo</w:t>
            </w:r>
          </w:p>
        </w:tc>
        <w:tc>
          <w:tcPr>
            <w:tcW w:w="6378" w:type="dxa"/>
          </w:tcPr>
          <w:p w14:paraId="219BEB0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192555127</w:t>
            </w:r>
          </w:p>
        </w:tc>
      </w:tr>
      <w:tr w:rsidR="00317816" w:rsidRPr="00C24D02" w14:paraId="1706495D" w14:textId="77777777" w:rsidTr="003D1A59">
        <w:trPr>
          <w:trHeight w:val="741"/>
        </w:trPr>
        <w:tc>
          <w:tcPr>
            <w:tcW w:w="2405" w:type="dxa"/>
          </w:tcPr>
          <w:p w14:paraId="77CEB84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0819A3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Škála mapování hodnot (ŠMH-15) / Škála mapovania hodnôt (ŠMH-15) - Příručka pro praxi</w:t>
            </w:r>
            <w:bookmarkStart w:id="46" w:name="_Hlk218604668"/>
            <w:bookmarkEnd w:id="46"/>
          </w:p>
        </w:tc>
      </w:tr>
      <w:tr w:rsidR="00317816" w:rsidRPr="00C24D02" w14:paraId="5DD728A5" w14:textId="77777777" w:rsidTr="003D1A59">
        <w:tc>
          <w:tcPr>
            <w:tcW w:w="2405" w:type="dxa"/>
          </w:tcPr>
          <w:p w14:paraId="6739214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15BF100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5.1.</w:t>
            </w:r>
          </w:p>
        </w:tc>
      </w:tr>
      <w:tr w:rsidR="00317816" w:rsidRPr="00C24D02" w14:paraId="7A3B20BB" w14:textId="77777777" w:rsidTr="003D1A59">
        <w:tc>
          <w:tcPr>
            <w:tcW w:w="2405" w:type="dxa"/>
          </w:tcPr>
          <w:p w14:paraId="223F3A0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6EA2E51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43CA6D20" w14:textId="77777777" w:rsidTr="003D1A59">
        <w:tc>
          <w:tcPr>
            <w:tcW w:w="2405" w:type="dxa"/>
          </w:tcPr>
          <w:p w14:paraId="4963988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28"/>
            </w:r>
            <w:r w:rsidRPr="00C24D02">
              <w:rPr>
                <w:rFonts w:asciiTheme="minorHAnsi" w:eastAsia="Calibri" w:hAnsiTheme="minorHAnsi" w:cstheme="minorHAnsi"/>
              </w:rPr>
              <w:t>)</w:t>
            </w:r>
          </w:p>
        </w:tc>
        <w:tc>
          <w:tcPr>
            <w:tcW w:w="6378" w:type="dxa"/>
          </w:tcPr>
          <w:p w14:paraId="0CDE360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4/3/-/4</w:t>
            </w:r>
          </w:p>
        </w:tc>
      </w:tr>
      <w:tr w:rsidR="00317816" w:rsidRPr="00C24D02" w14:paraId="5955BDCD" w14:textId="77777777" w:rsidTr="003D1A59">
        <w:tc>
          <w:tcPr>
            <w:tcW w:w="2405" w:type="dxa"/>
          </w:tcPr>
          <w:p w14:paraId="47C9374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D5A3952"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3.</w:t>
            </w:r>
          </w:p>
        </w:tc>
      </w:tr>
    </w:tbl>
    <w:p w14:paraId="495F5875" w14:textId="77777777" w:rsidR="00317816" w:rsidRPr="00C24D02" w:rsidRDefault="00317816" w:rsidP="00317816">
      <w:pPr>
        <w:spacing w:after="144" w:line="360" w:lineRule="auto"/>
        <w:rPr>
          <w:rFonts w:asciiTheme="minorHAnsi" w:hAnsiTheme="minorHAnsi" w:cstheme="minorHAnsi"/>
        </w:rPr>
      </w:pPr>
    </w:p>
    <w:p w14:paraId="69D16B6D"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Nedostatečné vysvětlení společenské relevance</w:t>
      </w:r>
    </w:p>
    <w:p w14:paraId="2213162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145C30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Panel konstatoval „nedostatečné vysvětlení společenské relevance“ nástroje. Domníváme se, že výsledek jednoznačně naplňuje kategorii společenská relevance a splňuje kritéria potřebnosti, uplatnitelnosti a dopadu mimo akademickou sféru. Žádáme proto o přehodnocení na stupeň 3.</w:t>
      </w:r>
    </w:p>
    <w:p w14:paraId="7C582D8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Zdůvodnění:</w:t>
      </w:r>
    </w:p>
    <w:p w14:paraId="5DD848A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Jasný praktický cíl a užitek: ŠMH-15 je kompaktní a teoreticky ukotvený 15položkový nástroj k rychlému zmapování tří hodnotových dimenzí u adolescentů. Díky krátké administraci (~10 min), možnosti skupinového i individuálního použití a existenci kompletního diagnostického setu je okamžitě použitelný ve školství, poradnách i terénním výzkumu.</w:t>
      </w:r>
    </w:p>
    <w:p w14:paraId="4D68CF3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Rozsáhlá standardizace a normy: Nástroj byl standardizován na tisících českých a slovenských adolescentů a nabízí populační normy — tj. poskytuje konkrétní referenční rámec pro rozhodování v praxi. Tříjazyčné materiály (CZ/SK/EN) dále zvyšují použitelnost.</w:t>
      </w:r>
    </w:p>
    <w:p w14:paraId="48E25DE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Psychometrická kvalita (rebuttal k pochybnostem): – Reliabilita: McDonaldova ω ≈ 0,90 (vysoká vnitřní konzistence). – Strukturální validita: CFA s vynikající shodou (CFI = 0,996; TLI = </w:t>
      </w:r>
      <w:r w:rsidRPr="00C24D02">
        <w:rPr>
          <w:rFonts w:asciiTheme="minorHAnsi" w:hAnsiTheme="minorHAnsi" w:cstheme="minorHAnsi"/>
        </w:rPr>
        <w:lastRenderedPageBreak/>
        <w:t>0,995; RMSEA = 0,040; SRMR = 0,043). Tyto metriky dokládají, že škála měří zamýšlené konstrukty stabilně a přesně. Výhrady k „zešikmení“ odpovědí reflektují spíše povahu zkoumaných hodnot u dospívajících než vadu nástroje; autoři tento aspekt v příručce výslovně zohledňují.</w:t>
      </w:r>
    </w:p>
    <w:p w14:paraId="2F3A2AF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Směřování k dopadu: Nástroj umožňuje včasné zachycení rizikových hodnotových postojů a cílení preventivních a poradenských intervencí, což je přímý společenský přínos (školní prevence, práce s třídou, komunitní programy). Podporuje také evaluaci intervencí a interdisciplinární aplikace.</w:t>
      </w:r>
    </w:p>
    <w:p w14:paraId="658FCFE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Mezinárodní odborný ohlas: Anglickou verzi viděla a pozitivně komentovala Dr. Lene Arnett Jensen (Clark University), přední autorita v oblasti hodnot (autorka nástroje Three Ethics Measures: https://lenearnettjensen.com/three-ethics-measures/); to potvrzuje mezinárodní čitelnost a relevanci. (Krátká, ale nezanedbatelná odborná reference.)</w:t>
      </w:r>
    </w:p>
    <w:p w14:paraId="5926A56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Na základě doložené uplatnitelnosti, rozsáhlé standardizace s normami a špičkových psychometrických parametrů považujeme hodnocení 4 za neadekvátní. Výsledek naplňuje definici stupně 3: rozvíjí současný stav v aplikační oblasti a má prokazatelný dopad a zřejmý potenciál uplatnění v praxi. Žádáme o přehodnocení známky na stupeň 3.</w:t>
      </w:r>
    </w:p>
    <w:p w14:paraId="3AA4693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Děkujeme za doplněné informace k nástroji ŠMH-15. Rozsáhlá standardizace a kvalitní psychometrické charakteristiky vypovídají o odborné úrovni nástroje, ale primárně dokazují jeho technickou kvalitu, nikoliv společenské uplatnění. Nicméně předložené informace o rychlé administraci, teoretickém ukotvení a možnostech využití ve školství či poradenství popisují možnosti budoucího uplatnění. Po opětovném posouzení námitky, odborných posudků i kritérií Modulu 1 konstatujeme, že výsledek představuje kvalitně připravený psychodiagnostický nástroj s potenciálním využitím v praxi a navrhujeme změnu hodnocení z 4 na 3 (rozvíjí současný stav v aplikační oblasti a má prokazatelný dopad a zřejmý potenciál uplatnění v praxi).</w:t>
      </w:r>
    </w:p>
    <w:p w14:paraId="5066168F"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vyhovět a změnit původní hodnocení na stupeň 3.</w:t>
      </w:r>
    </w:p>
    <w:p w14:paraId="777C5E23"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bCs/>
        </w:rPr>
        <w:t>bez vyjádření.</w:t>
      </w:r>
    </w:p>
    <w:p w14:paraId="6907E903" w14:textId="5754CBA7" w:rsidR="00317816" w:rsidRPr="00D054AE" w:rsidRDefault="00317816" w:rsidP="00D054AE">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návrhem panelu a přehodnocením výsledku stupněm 3.</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35A93D9" w14:textId="77777777" w:rsidTr="003D1A59">
        <w:tc>
          <w:tcPr>
            <w:tcW w:w="2405" w:type="dxa"/>
          </w:tcPr>
          <w:p w14:paraId="6F831A6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Instituce</w:t>
            </w:r>
          </w:p>
        </w:tc>
        <w:tc>
          <w:tcPr>
            <w:tcW w:w="6378" w:type="dxa"/>
          </w:tcPr>
          <w:p w14:paraId="1398434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UPOL - Přírodovědecká fakulta</w:t>
            </w:r>
          </w:p>
        </w:tc>
      </w:tr>
      <w:tr w:rsidR="00317816" w:rsidRPr="00C24D02" w14:paraId="5F527839" w14:textId="77777777" w:rsidTr="003D1A59">
        <w:tc>
          <w:tcPr>
            <w:tcW w:w="2405" w:type="dxa"/>
          </w:tcPr>
          <w:p w14:paraId="54E6D27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3625B30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192219201</w:t>
            </w:r>
          </w:p>
        </w:tc>
      </w:tr>
      <w:tr w:rsidR="00317816" w:rsidRPr="00C24D02" w14:paraId="5361F664" w14:textId="77777777" w:rsidTr="003D1A59">
        <w:trPr>
          <w:trHeight w:val="741"/>
        </w:trPr>
        <w:tc>
          <w:tcPr>
            <w:tcW w:w="2405" w:type="dxa"/>
          </w:tcPr>
          <w:p w14:paraId="79DB0AA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333C03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Jasmonate signalling in carnivorous plants: copycat of plant defence mechanisms</w:t>
            </w:r>
            <w:bookmarkStart w:id="47" w:name="_Hlk218604763"/>
            <w:bookmarkEnd w:id="47"/>
          </w:p>
        </w:tc>
      </w:tr>
      <w:tr w:rsidR="00317816" w:rsidRPr="00C24D02" w14:paraId="63685581" w14:textId="77777777" w:rsidTr="003D1A59">
        <w:tc>
          <w:tcPr>
            <w:tcW w:w="2405" w:type="dxa"/>
          </w:tcPr>
          <w:p w14:paraId="7036303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9E3CE2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317816" w:rsidRPr="00C24D02" w14:paraId="74344AF9" w14:textId="77777777" w:rsidTr="003D1A59">
        <w:tc>
          <w:tcPr>
            <w:tcW w:w="2405" w:type="dxa"/>
          </w:tcPr>
          <w:p w14:paraId="34A51D9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3D6C062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03F4E836" w14:textId="77777777" w:rsidTr="003D1A59">
        <w:tc>
          <w:tcPr>
            <w:tcW w:w="2405" w:type="dxa"/>
          </w:tcPr>
          <w:p w14:paraId="152D1FA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29"/>
            </w:r>
            <w:r w:rsidRPr="00C24D02">
              <w:rPr>
                <w:rFonts w:asciiTheme="minorHAnsi" w:eastAsia="Calibri" w:hAnsiTheme="minorHAnsi" w:cstheme="minorHAnsi"/>
              </w:rPr>
              <w:t>)</w:t>
            </w:r>
          </w:p>
        </w:tc>
        <w:tc>
          <w:tcPr>
            <w:tcW w:w="6378" w:type="dxa"/>
          </w:tcPr>
          <w:p w14:paraId="7F232FF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3/2/-/4</w:t>
            </w:r>
          </w:p>
        </w:tc>
      </w:tr>
      <w:tr w:rsidR="00317816" w:rsidRPr="00C24D02" w14:paraId="32706C99" w14:textId="77777777" w:rsidTr="003D1A59">
        <w:tc>
          <w:tcPr>
            <w:tcW w:w="2405" w:type="dxa"/>
          </w:tcPr>
          <w:p w14:paraId="657D174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AF34A27"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1E02E66D" w14:textId="77777777" w:rsidR="00317816" w:rsidRPr="00C24D02" w:rsidRDefault="00317816" w:rsidP="00317816">
      <w:pPr>
        <w:spacing w:after="144" w:line="360" w:lineRule="auto"/>
        <w:rPr>
          <w:rFonts w:asciiTheme="minorHAnsi" w:hAnsiTheme="minorHAnsi" w:cstheme="minorHAnsi"/>
        </w:rPr>
      </w:pPr>
    </w:p>
    <w:p w14:paraId="704EA9F4"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Mezinárodní dopad</w:t>
      </w:r>
    </w:p>
    <w:p w14:paraId="14DAE4F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C8F6E6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Snížení známky na 4 </w:t>
      </w:r>
      <w:r w:rsidRPr="00C24D02">
        <w:rPr>
          <w:rFonts w:asciiTheme="minorHAnsi" w:hAnsiTheme="minorHAnsi" w:cstheme="minorHAnsi"/>
          <w:b/>
          <w:bCs/>
        </w:rPr>
        <w:t xml:space="preserve">od Panelisty Garanta </w:t>
      </w:r>
      <w:r w:rsidRPr="00C24D02">
        <w:rPr>
          <w:rFonts w:asciiTheme="minorHAnsi" w:hAnsiTheme="minorHAnsi" w:cstheme="minorHAnsi"/>
        </w:rPr>
        <w:t xml:space="preserve">je v rozporu s dílčími známkami </w:t>
      </w:r>
      <w:r w:rsidRPr="00C24D02">
        <w:rPr>
          <w:rFonts w:asciiTheme="minorHAnsi" w:hAnsiTheme="minorHAnsi" w:cstheme="minorHAnsi"/>
          <w:b/>
          <w:bCs/>
        </w:rPr>
        <w:t xml:space="preserve">2 a 3 </w:t>
      </w:r>
      <w:r w:rsidRPr="00C24D02">
        <w:rPr>
          <w:rFonts w:asciiTheme="minorHAnsi" w:hAnsiTheme="minorHAnsi" w:cstheme="minorHAnsi"/>
        </w:rPr>
        <w:t xml:space="preserve">dvou panelistů a s doloženým </w:t>
      </w:r>
      <w:r w:rsidRPr="00C24D02">
        <w:rPr>
          <w:rFonts w:asciiTheme="minorHAnsi" w:hAnsiTheme="minorHAnsi" w:cstheme="minorHAnsi"/>
          <w:b/>
          <w:bCs/>
        </w:rPr>
        <w:t xml:space="preserve">mezinárodním dopadem </w:t>
      </w:r>
      <w:r w:rsidRPr="00C24D02">
        <w:rPr>
          <w:rFonts w:asciiTheme="minorHAnsi" w:hAnsiTheme="minorHAnsi" w:cstheme="minorHAnsi"/>
        </w:rPr>
        <w:t xml:space="preserve">práce. Navrhujeme přehodnocení na </w:t>
      </w:r>
      <w:r w:rsidRPr="00C24D02">
        <w:rPr>
          <w:rFonts w:asciiTheme="minorHAnsi" w:hAnsiTheme="minorHAnsi" w:cstheme="minorHAnsi"/>
          <w:b/>
          <w:bCs/>
        </w:rPr>
        <w:t xml:space="preserve">stupeň 2 </w:t>
      </w:r>
      <w:r w:rsidRPr="00C24D02">
        <w:rPr>
          <w:rFonts w:asciiTheme="minorHAnsi" w:hAnsiTheme="minorHAnsi" w:cstheme="minorHAnsi"/>
        </w:rPr>
        <w:t xml:space="preserve">(vynikající mezinárodní úroveň). </w:t>
      </w:r>
    </w:p>
    <w:p w14:paraId="158AB9D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Zdůvodnění </w:t>
      </w:r>
    </w:p>
    <w:p w14:paraId="06071EFB" w14:textId="77777777" w:rsidR="00317816" w:rsidRPr="00C24D02" w:rsidRDefault="00317816" w:rsidP="00317816">
      <w:pPr>
        <w:pStyle w:val="Odstavecseseznamem"/>
        <w:numPr>
          <w:ilvl w:val="0"/>
          <w:numId w:val="32"/>
        </w:numPr>
        <w:spacing w:after="144" w:line="360" w:lineRule="auto"/>
        <w:jc w:val="both"/>
        <w:rPr>
          <w:rFonts w:asciiTheme="minorHAnsi" w:hAnsiTheme="minorHAnsi" w:cstheme="minorHAnsi"/>
        </w:rPr>
      </w:pPr>
      <w:r w:rsidRPr="00C24D02">
        <w:rPr>
          <w:rFonts w:asciiTheme="minorHAnsi" w:hAnsiTheme="minorHAnsi" w:cstheme="minorHAnsi"/>
          <w:b/>
          <w:bCs/>
        </w:rPr>
        <w:t xml:space="preserve">Prediktivní a koncepční přínos: </w:t>
      </w:r>
      <w:r w:rsidRPr="00C24D02">
        <w:rPr>
          <w:rFonts w:asciiTheme="minorHAnsi" w:hAnsiTheme="minorHAnsi" w:cstheme="minorHAnsi"/>
        </w:rPr>
        <w:t xml:space="preserve">Přehled nejen </w:t>
      </w:r>
      <w:r w:rsidRPr="00C24D02">
        <w:rPr>
          <w:rFonts w:asciiTheme="minorHAnsi" w:hAnsiTheme="minorHAnsi" w:cstheme="minorHAnsi"/>
          <w:b/>
          <w:bCs/>
        </w:rPr>
        <w:t>shrnuje stav poznání</w:t>
      </w:r>
      <w:r w:rsidRPr="00C24D02">
        <w:rPr>
          <w:rFonts w:asciiTheme="minorHAnsi" w:hAnsiTheme="minorHAnsi" w:cstheme="minorHAnsi"/>
        </w:rPr>
        <w:t xml:space="preserve">, ale </w:t>
      </w:r>
      <w:r w:rsidRPr="00C24D02">
        <w:rPr>
          <w:rFonts w:asciiTheme="minorHAnsi" w:hAnsiTheme="minorHAnsi" w:cstheme="minorHAnsi"/>
          <w:b/>
          <w:bCs/>
        </w:rPr>
        <w:t>navrhuje nové směry</w:t>
      </w:r>
      <w:r w:rsidRPr="00C24D02">
        <w:rPr>
          <w:rFonts w:asciiTheme="minorHAnsi" w:hAnsiTheme="minorHAnsi" w:cstheme="minorHAnsi"/>
        </w:rPr>
        <w:t xml:space="preserve">, zejména že jasmonátová signalizace </w:t>
      </w:r>
      <w:r w:rsidRPr="00C24D02">
        <w:rPr>
          <w:rFonts w:asciiTheme="minorHAnsi" w:hAnsiTheme="minorHAnsi" w:cstheme="minorHAnsi"/>
          <w:b/>
          <w:bCs/>
        </w:rPr>
        <w:t xml:space="preserve">není jediným mechanismem </w:t>
      </w:r>
      <w:r w:rsidRPr="00C24D02">
        <w:rPr>
          <w:rFonts w:asciiTheme="minorHAnsi" w:hAnsiTheme="minorHAnsi" w:cstheme="minorHAnsi"/>
        </w:rPr>
        <w:t xml:space="preserve">u masožravých rostlin; to bylo následně </w:t>
      </w:r>
      <w:r w:rsidRPr="00C24D02">
        <w:rPr>
          <w:rFonts w:asciiTheme="minorHAnsi" w:hAnsiTheme="minorHAnsi" w:cstheme="minorHAnsi"/>
          <w:b/>
          <w:bCs/>
        </w:rPr>
        <w:t xml:space="preserve">empiricky potvrzeno </w:t>
      </w:r>
      <w:r w:rsidRPr="00C24D02">
        <w:rPr>
          <w:rFonts w:asciiTheme="minorHAnsi" w:hAnsiTheme="minorHAnsi" w:cstheme="minorHAnsi"/>
        </w:rPr>
        <w:t xml:space="preserve">(publikace domácího i zahraničního týmu v letech 2020–2025). To podtrhuje </w:t>
      </w:r>
      <w:r w:rsidRPr="00C24D02">
        <w:rPr>
          <w:rFonts w:asciiTheme="minorHAnsi" w:hAnsiTheme="minorHAnsi" w:cstheme="minorHAnsi"/>
          <w:b/>
          <w:bCs/>
        </w:rPr>
        <w:t xml:space="preserve">mezinárodní význam a dlouhodobý vliv </w:t>
      </w:r>
      <w:r w:rsidRPr="00C24D02">
        <w:rPr>
          <w:rFonts w:asciiTheme="minorHAnsi" w:hAnsiTheme="minorHAnsi" w:cstheme="minorHAnsi"/>
        </w:rPr>
        <w:t xml:space="preserve">práce. </w:t>
      </w:r>
    </w:p>
    <w:p w14:paraId="5A3C426C" w14:textId="77777777" w:rsidR="00317816" w:rsidRPr="00C24D02" w:rsidRDefault="00317816" w:rsidP="00317816">
      <w:pPr>
        <w:pStyle w:val="Odstavecseseznamem"/>
        <w:numPr>
          <w:ilvl w:val="0"/>
          <w:numId w:val="32"/>
        </w:numPr>
        <w:spacing w:after="144" w:line="360" w:lineRule="auto"/>
        <w:jc w:val="both"/>
        <w:rPr>
          <w:rFonts w:asciiTheme="minorHAnsi" w:hAnsiTheme="minorHAnsi" w:cstheme="minorHAnsi"/>
        </w:rPr>
      </w:pPr>
      <w:r w:rsidRPr="00C24D02">
        <w:rPr>
          <w:rFonts w:asciiTheme="minorHAnsi" w:hAnsiTheme="minorHAnsi" w:cstheme="minorHAnsi"/>
          <w:b/>
          <w:bCs/>
        </w:rPr>
        <w:t xml:space="preserve">Vysoký citační ohlas a prestižní zdroje: 52 citací ve Web of Science </w:t>
      </w:r>
      <w:r w:rsidRPr="00C24D02">
        <w:rPr>
          <w:rFonts w:asciiTheme="minorHAnsi" w:hAnsiTheme="minorHAnsi" w:cstheme="minorHAnsi"/>
        </w:rPr>
        <w:t xml:space="preserve">včetně </w:t>
      </w:r>
      <w:r w:rsidRPr="00C24D02">
        <w:rPr>
          <w:rFonts w:asciiTheme="minorHAnsi" w:hAnsiTheme="minorHAnsi" w:cstheme="minorHAnsi"/>
          <w:b/>
          <w:bCs/>
        </w:rPr>
        <w:t xml:space="preserve">Nature Microbiology, Nature Plants, PNAS, Current Biology, Annual Review of Plant Biology </w:t>
      </w:r>
      <w:r w:rsidRPr="00C24D02">
        <w:rPr>
          <w:rFonts w:asciiTheme="minorHAnsi" w:hAnsiTheme="minorHAnsi" w:cstheme="minorHAnsi"/>
        </w:rPr>
        <w:t xml:space="preserve">aj. — to je metrika odpovídající </w:t>
      </w:r>
      <w:r w:rsidRPr="00C24D02">
        <w:rPr>
          <w:rFonts w:asciiTheme="minorHAnsi" w:hAnsiTheme="minorHAnsi" w:cstheme="minorHAnsi"/>
          <w:b/>
          <w:bCs/>
        </w:rPr>
        <w:t>mezinárodnímu dopadu</w:t>
      </w:r>
      <w:r w:rsidRPr="00C24D02">
        <w:rPr>
          <w:rFonts w:asciiTheme="minorHAnsi" w:hAnsiTheme="minorHAnsi" w:cstheme="minorHAnsi"/>
        </w:rPr>
        <w:t xml:space="preserve">. </w:t>
      </w:r>
    </w:p>
    <w:p w14:paraId="54CD0EC3" w14:textId="77777777" w:rsidR="00317816" w:rsidRPr="00C24D02" w:rsidRDefault="00317816" w:rsidP="00317816">
      <w:pPr>
        <w:pStyle w:val="Odstavecseseznamem"/>
        <w:numPr>
          <w:ilvl w:val="0"/>
          <w:numId w:val="32"/>
        </w:numPr>
        <w:spacing w:after="144" w:line="360" w:lineRule="auto"/>
        <w:jc w:val="both"/>
        <w:rPr>
          <w:rFonts w:asciiTheme="minorHAnsi" w:hAnsiTheme="minorHAnsi" w:cstheme="minorHAnsi"/>
        </w:rPr>
      </w:pPr>
      <w:r w:rsidRPr="00C24D02">
        <w:rPr>
          <w:rFonts w:asciiTheme="minorHAnsi" w:hAnsiTheme="minorHAnsi" w:cstheme="minorHAnsi"/>
          <w:b/>
          <w:bCs/>
        </w:rPr>
        <w:lastRenderedPageBreak/>
        <w:t xml:space="preserve">Autorství a viditelnost UP: </w:t>
      </w:r>
      <w:r w:rsidRPr="00C24D02">
        <w:rPr>
          <w:rFonts w:asciiTheme="minorHAnsi" w:hAnsiTheme="minorHAnsi" w:cstheme="minorHAnsi"/>
        </w:rPr>
        <w:t xml:space="preserve">První autor </w:t>
      </w:r>
      <w:r w:rsidRPr="00C24D02">
        <w:rPr>
          <w:rFonts w:asciiTheme="minorHAnsi" w:hAnsiTheme="minorHAnsi" w:cstheme="minorHAnsi"/>
          <w:b/>
          <w:bCs/>
        </w:rPr>
        <w:t>(UP) je korespondenční autor</w:t>
      </w:r>
      <w:r w:rsidRPr="00C24D02">
        <w:rPr>
          <w:rFonts w:asciiTheme="minorHAnsi" w:hAnsiTheme="minorHAnsi" w:cstheme="minorHAnsi"/>
        </w:rPr>
        <w:t xml:space="preserve">, což potvrzuje </w:t>
      </w:r>
      <w:r w:rsidRPr="00C24D02">
        <w:rPr>
          <w:rFonts w:asciiTheme="minorHAnsi" w:hAnsiTheme="minorHAnsi" w:cstheme="minorHAnsi"/>
          <w:b/>
          <w:bCs/>
        </w:rPr>
        <w:t>vedoucí roli UP</w:t>
      </w:r>
      <w:r w:rsidRPr="00C24D02">
        <w:rPr>
          <w:rFonts w:asciiTheme="minorHAnsi" w:hAnsiTheme="minorHAnsi" w:cstheme="minorHAnsi"/>
        </w:rPr>
        <w:t xml:space="preserve">. </w:t>
      </w:r>
    </w:p>
    <w:p w14:paraId="59BC2D6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bCs/>
        </w:rPr>
        <w:t xml:space="preserve">Závěr </w:t>
      </w:r>
    </w:p>
    <w:p w14:paraId="232684B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S ohledem na koncepční originalitu, prediktivní hodnotu a prokazatelný mezinárodní dopad žádáme o </w:t>
      </w:r>
      <w:r w:rsidRPr="00C24D02">
        <w:rPr>
          <w:rFonts w:asciiTheme="minorHAnsi" w:hAnsiTheme="minorHAnsi" w:cstheme="minorHAnsi"/>
          <w:b/>
          <w:bCs/>
        </w:rPr>
        <w:t>přehodnocení na stupeň 2</w:t>
      </w:r>
      <w:r w:rsidRPr="00C24D02">
        <w:rPr>
          <w:rFonts w:asciiTheme="minorHAnsi" w:hAnsiTheme="minorHAnsi" w:cstheme="minorHAnsi"/>
        </w:rPr>
        <w:t xml:space="preserve">; minimálně však na stupeň 3, v souladu s dílčími známkami recenzentů. </w:t>
      </w:r>
    </w:p>
    <w:p w14:paraId="17BF029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Instituce ve svém odvolání vznáší námitku vůči snížení známky na „4“ udělené Panelistou-Garantem, které je v rozporu s dílčími známkami „2“ a „3“ udělenými dvěma hodnotiteli. Instituce navrhuje přehodnocení alespoň na stupeň „3“. Ve svém zdůvodnění se odvolává jednak na vysoký citační ohlas výsledku (52 citací, včetně prestižních zdrojů), a jednak na jeho prediktivní a koncepční přínos. Při projednávání této námitky panel souhlasil s předkládající institucí, že výsledek — pokud by byl hodnocen pouze na základě těchto parametrů — skutečně splňuje podmínky pro udělení známky „3“. Nicméně tato dvě kritéria představují pouze dílčí vstupy do celkového hodnocení. Při rozhodování panel přihlížel také k následujícím skutečnostem: a) 25 % všech citací představují autocitace, b) předložený výsledek je typu minireview v úzce specializovaném oboru a náročnost jeho vzniku neodpovídá nárokům, které se obvykle kladou na výsledky hodnocené stupněm „3“, c) prediktivní a koncepční přínos výsledku je z významné části omezen na výčet oblastí a otázek, které dosud nebyly v daném oboru studovány či nejsou známy.</w:t>
      </w:r>
    </w:p>
    <w:p w14:paraId="15D3B3C7"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75A486FF"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 xml:space="preserve">Garant při hodnocení postupoval dle oddílu 7.2.3 </w:t>
      </w:r>
      <w:r w:rsidRPr="00C24D02">
        <w:rPr>
          <w:rFonts w:asciiTheme="minorHAnsi" w:hAnsiTheme="minorHAnsi" w:cstheme="minorHAnsi"/>
          <w:b/>
          <w:bCs/>
        </w:rPr>
        <w:t>Rozhodování o výsledném zařazení výsledku na hodnoticí škále</w:t>
      </w:r>
      <w:r w:rsidRPr="00C24D02">
        <w:rPr>
          <w:rFonts w:asciiTheme="minorHAnsi" w:hAnsiTheme="minorHAnsi" w:cstheme="minorHAnsi"/>
        </w:rPr>
        <w:t>, písmene d), bodu 3. Postupu</w:t>
      </w:r>
      <w:r w:rsidRPr="00C24D02">
        <w:rPr>
          <w:rStyle w:val="Znakapoznpodarou"/>
          <w:rFonts w:asciiTheme="minorHAnsi" w:eastAsiaTheme="majorEastAsia" w:hAnsiTheme="minorHAnsi" w:cstheme="minorHAnsi"/>
        </w:rPr>
        <w:footnoteReference w:id="130"/>
      </w:r>
      <w:r w:rsidRPr="00C24D02">
        <w:rPr>
          <w:rFonts w:asciiTheme="minorHAnsi" w:hAnsiTheme="minorHAnsi" w:cstheme="minorHAnsi"/>
        </w:rPr>
        <w:t>, ve kterém je uvedeno: „</w:t>
      </w:r>
      <w:r w:rsidRPr="00C24D02">
        <w:rPr>
          <w:rFonts w:asciiTheme="minorHAnsi" w:hAnsiTheme="minorHAnsi" w:cstheme="minorHAnsi"/>
          <w:i/>
          <w:iCs/>
        </w:rPr>
        <w:t xml:space="preserve">Garant hodnocení vybraných výsledků má právo udělit výsledné hodnocení odlišující se o jeden stupeň od rozsahu, který je dán hodnotiteli. Toto rozhodnutí musí zdůvodnit. Pokud garant bibliometrické analýzy s navržením hodnocením nesouhlasí, může navrhnout alternativu. V případě, že oba garanti nedosáhnou konsensu, </w:t>
      </w:r>
      <w:r w:rsidRPr="00C24D02">
        <w:rPr>
          <w:rFonts w:asciiTheme="minorHAnsi" w:hAnsiTheme="minorHAnsi" w:cstheme="minorHAnsi"/>
          <w:i/>
          <w:iCs/>
        </w:rPr>
        <w:lastRenderedPageBreak/>
        <w:t>postoupí své návrhy předsedovi panelu, který se standardně přikloní k jednomu z návrhů. Tímto rozhodnutím může být pověřen i místopředseda Odborného panelu.“</w:t>
      </w:r>
    </w:p>
    <w:p w14:paraId="64C1AB0B" w14:textId="6B15AC18"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0D8323DE" w14:textId="77777777" w:rsidTr="003D1A59">
        <w:tc>
          <w:tcPr>
            <w:tcW w:w="2405" w:type="dxa"/>
          </w:tcPr>
          <w:p w14:paraId="74CBA3B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354210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fyzikální chemie J. Heyrovského AV ČR</w:t>
            </w:r>
          </w:p>
        </w:tc>
      </w:tr>
      <w:tr w:rsidR="00317816" w:rsidRPr="00C24D02" w14:paraId="373A7652" w14:textId="77777777" w:rsidTr="003D1A59">
        <w:tc>
          <w:tcPr>
            <w:tcW w:w="2405" w:type="dxa"/>
          </w:tcPr>
          <w:p w14:paraId="7B03C2D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A562E4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192343854</w:t>
            </w:r>
          </w:p>
        </w:tc>
      </w:tr>
      <w:tr w:rsidR="00317816" w:rsidRPr="00C24D02" w14:paraId="007BA23B" w14:textId="77777777" w:rsidTr="003D1A59">
        <w:trPr>
          <w:trHeight w:val="741"/>
        </w:trPr>
        <w:tc>
          <w:tcPr>
            <w:tcW w:w="2405" w:type="dxa"/>
          </w:tcPr>
          <w:p w14:paraId="58D9EC6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3B4FD3C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Quantum Chemistry on Quantum Computers</w:t>
            </w:r>
            <w:bookmarkStart w:id="48" w:name="_Hlk218604806"/>
            <w:bookmarkEnd w:id="48"/>
          </w:p>
        </w:tc>
      </w:tr>
      <w:tr w:rsidR="00317816" w:rsidRPr="00C24D02" w14:paraId="2BC3C809" w14:textId="77777777" w:rsidTr="003D1A59">
        <w:tc>
          <w:tcPr>
            <w:tcW w:w="2405" w:type="dxa"/>
          </w:tcPr>
          <w:p w14:paraId="220B625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29C954B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w:t>
            </w:r>
          </w:p>
        </w:tc>
      </w:tr>
      <w:tr w:rsidR="00317816" w:rsidRPr="00C24D02" w14:paraId="1C0EB105" w14:textId="77777777" w:rsidTr="003D1A59">
        <w:tc>
          <w:tcPr>
            <w:tcW w:w="2405" w:type="dxa"/>
          </w:tcPr>
          <w:p w14:paraId="10DDD16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8B7539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50F58594" w14:textId="77777777" w:rsidTr="003D1A59">
        <w:tc>
          <w:tcPr>
            <w:tcW w:w="2405" w:type="dxa"/>
          </w:tcPr>
          <w:p w14:paraId="7AA9D0E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31"/>
            </w:r>
            <w:r w:rsidRPr="00C24D02">
              <w:rPr>
                <w:rFonts w:asciiTheme="minorHAnsi" w:eastAsia="Calibri" w:hAnsiTheme="minorHAnsi" w:cstheme="minorHAnsi"/>
              </w:rPr>
              <w:t>)</w:t>
            </w:r>
          </w:p>
        </w:tc>
        <w:tc>
          <w:tcPr>
            <w:tcW w:w="6378" w:type="dxa"/>
          </w:tcPr>
          <w:p w14:paraId="5FBF824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2/2/-/3</w:t>
            </w:r>
          </w:p>
        </w:tc>
      </w:tr>
      <w:tr w:rsidR="00317816" w:rsidRPr="00C24D02" w14:paraId="39D51A64" w14:textId="77777777" w:rsidTr="003D1A59">
        <w:tc>
          <w:tcPr>
            <w:tcW w:w="2405" w:type="dxa"/>
          </w:tcPr>
          <w:p w14:paraId="761269E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B76061B"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3F624D56" w14:textId="77777777" w:rsidR="00317816" w:rsidRPr="00C24D02" w:rsidRDefault="00317816" w:rsidP="00317816">
      <w:pPr>
        <w:spacing w:after="144" w:line="360" w:lineRule="auto"/>
        <w:rPr>
          <w:rFonts w:asciiTheme="minorHAnsi" w:hAnsiTheme="minorHAnsi" w:cstheme="minorHAnsi"/>
        </w:rPr>
      </w:pPr>
    </w:p>
    <w:p w14:paraId="393DC25F"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Nesprávně stanovené kritérium PP/SR</w:t>
      </w:r>
    </w:p>
    <w:p w14:paraId="1156801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E7CDA6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Práce je pedagogický text pro výuku na Podzimní škole korelovaných elektronů v Julichu (Německo), na kterou jsem byl pozván jako přednášející. Smyslem není přímo rozšířit poznání v daném oboru, ale spíše společenský přínos prostřednictvím výuky vysokoškolských studentů a postdoktorandů. </w:t>
      </w:r>
    </w:p>
    <w:p w14:paraId="56D4934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Výsledek byl přihlášen a následně hodnocen podle kritéria přínos k poznání. Práce má charakter pedagogického textu, u kterého je přínos k poznání na nižší úrovni ve srovnání s ostatními hodnocenými výsledky v panelu. V rámci komentáře autor diskutuje pedagogický charakter materiálu se spíše společenským přínosem, který je ale </w:t>
      </w:r>
      <w:r w:rsidRPr="00C24D02">
        <w:rPr>
          <w:rFonts w:asciiTheme="minorHAnsi" w:hAnsiTheme="minorHAnsi" w:cstheme="minorHAnsi"/>
        </w:rPr>
        <w:lastRenderedPageBreak/>
        <w:t>možné hodnotit pouze u kritéria společenská relevance. Panel zhodnotil komentář výzkumné organizace a dále doporučuje hodnocení stupněm 3.</w:t>
      </w:r>
    </w:p>
    <w:p w14:paraId="3422615C"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3.</w:t>
      </w:r>
    </w:p>
    <w:p w14:paraId="25FDCF1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 xml:space="preserve">Při hodnocení je nutno postupovat dle oddílu </w:t>
      </w:r>
      <w:r w:rsidRPr="00C24D02">
        <w:rPr>
          <w:rFonts w:asciiTheme="minorHAnsi" w:hAnsiTheme="minorHAnsi" w:cstheme="minorHAnsi"/>
          <w:b/>
          <w:bCs/>
        </w:rPr>
        <w:t>4 M1 – kvalita vybraných výsledků,</w:t>
      </w:r>
      <w:r w:rsidRPr="00C24D02">
        <w:rPr>
          <w:rFonts w:asciiTheme="minorHAnsi" w:hAnsiTheme="minorHAnsi" w:cstheme="minorHAnsi"/>
        </w:rPr>
        <w:t xml:space="preserve"> písmene e) a f), Postupu</w:t>
      </w:r>
      <w:r w:rsidRPr="00C24D02">
        <w:rPr>
          <w:rStyle w:val="Znakapoznpodarou"/>
          <w:rFonts w:asciiTheme="minorHAnsi" w:eastAsiaTheme="majorEastAsia" w:hAnsiTheme="minorHAnsi" w:cstheme="minorHAnsi"/>
        </w:rPr>
        <w:footnoteReference w:id="132"/>
      </w:r>
      <w:r w:rsidRPr="00C24D02">
        <w:rPr>
          <w:rFonts w:asciiTheme="minorHAnsi" w:hAnsiTheme="minorHAnsi" w:cstheme="minorHAnsi"/>
        </w:rPr>
        <w:t xml:space="preserve">, ve kterém je uvedeno: </w:t>
      </w:r>
    </w:p>
    <w:p w14:paraId="14FEF9A1" w14:textId="77777777" w:rsidR="00317816" w:rsidRPr="00C24D02" w:rsidRDefault="00317816" w:rsidP="00317816">
      <w:pPr>
        <w:spacing w:before="240" w:after="144" w:line="360" w:lineRule="auto"/>
        <w:jc w:val="both"/>
        <w:rPr>
          <w:rFonts w:asciiTheme="minorHAnsi" w:hAnsiTheme="minorHAnsi" w:cstheme="minorHAnsi"/>
          <w:i/>
          <w:iCs/>
        </w:rPr>
      </w:pPr>
      <w:r w:rsidRPr="00C24D02">
        <w:rPr>
          <w:rFonts w:asciiTheme="minorHAnsi" w:hAnsiTheme="minorHAnsi" w:cstheme="minorHAnsi"/>
          <w:i/>
          <w:iCs/>
        </w:rPr>
        <w:t>„e. Posouzení výsledků probíhá podle kritéria přínos k poznání nebo podle kritéria společenská relevance.</w:t>
      </w:r>
    </w:p>
    <w:p w14:paraId="14BB5F85"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i/>
          <w:iCs/>
        </w:rPr>
        <w:t>“</w:t>
      </w:r>
      <w:r w:rsidRPr="00C24D02">
        <w:rPr>
          <w:rFonts w:asciiTheme="minorHAnsi" w:hAnsiTheme="minorHAnsi" w:cstheme="minorHAnsi"/>
          <w:color w:val="000000"/>
        </w:rPr>
        <w:t xml:space="preserve"> </w:t>
      </w:r>
      <w:r w:rsidRPr="00C24D02">
        <w:rPr>
          <w:rFonts w:asciiTheme="minorHAnsi" w:hAnsiTheme="minorHAnsi" w:cstheme="minorHAnsi"/>
          <w:i/>
          <w:iCs/>
        </w:rPr>
        <w:t>f. Výzkumné organizace samy určí, podle kterého kritéria bude jimi přihlášený výsledek posouzen. Toto své rozhodnutí výslovně zdůvodní v příslušném poli Aplikace pro sběr vybraných výsledků.“</w:t>
      </w:r>
    </w:p>
    <w:p w14:paraId="734C3679"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w:t>
      </w:r>
    </w:p>
    <w:p w14:paraId="4DD2B2E6" w14:textId="77777777" w:rsidR="00317816" w:rsidRPr="00C24D02" w:rsidRDefault="00317816" w:rsidP="00317816">
      <w:pPr>
        <w:spacing w:before="240" w:after="144" w:line="360" w:lineRule="auto"/>
        <w:jc w:val="both"/>
        <w:rPr>
          <w:rFonts w:asciiTheme="minorHAnsi" w:hAnsiTheme="minorHAnsi" w:cstheme="minorHAnsi"/>
        </w:rPr>
      </w:pP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3FF644A" w14:textId="77777777" w:rsidTr="003D1A59">
        <w:tc>
          <w:tcPr>
            <w:tcW w:w="2405" w:type="dxa"/>
          </w:tcPr>
          <w:p w14:paraId="2725ED9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5193B2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TERMOMECHANIKY AV ČR</w:t>
            </w:r>
          </w:p>
        </w:tc>
      </w:tr>
      <w:tr w:rsidR="00317816" w:rsidRPr="00C24D02" w14:paraId="6890309D" w14:textId="77777777" w:rsidTr="003D1A59">
        <w:tc>
          <w:tcPr>
            <w:tcW w:w="2405" w:type="dxa"/>
          </w:tcPr>
          <w:p w14:paraId="57B7675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3204432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192342796</w:t>
            </w:r>
          </w:p>
        </w:tc>
      </w:tr>
      <w:tr w:rsidR="00317816" w:rsidRPr="00C24D02" w14:paraId="7FC92F1F" w14:textId="77777777" w:rsidTr="003D1A59">
        <w:trPr>
          <w:trHeight w:val="741"/>
        </w:trPr>
        <w:tc>
          <w:tcPr>
            <w:tcW w:w="2405" w:type="dxa"/>
          </w:tcPr>
          <w:p w14:paraId="7EA5D8E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3B7E853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Surface tension and density of dielectric heat transfer fluids of HFE type-experimental data at 0.1 MPa and modeling with PC-SAFT equa</w:t>
            </w:r>
            <w:r w:rsidRPr="00C24D02">
              <w:rPr>
                <w:rFonts w:asciiTheme="minorHAnsi" w:eastAsia="Arial" w:hAnsiTheme="minorHAnsi" w:cstheme="minorHAnsi"/>
              </w:rPr>
              <w:t>ti</w:t>
            </w:r>
            <w:r w:rsidRPr="00C24D02">
              <w:rPr>
                <w:rFonts w:asciiTheme="minorHAnsi" w:eastAsia="Calibri" w:hAnsiTheme="minorHAnsi" w:cstheme="minorHAnsi"/>
              </w:rPr>
              <w:t>on of state and density gradient theory</w:t>
            </w:r>
            <w:bookmarkStart w:id="49" w:name="_Hlk218605162"/>
            <w:bookmarkEnd w:id="49"/>
          </w:p>
        </w:tc>
      </w:tr>
      <w:tr w:rsidR="00317816" w:rsidRPr="00C24D02" w14:paraId="008D1B93" w14:textId="77777777" w:rsidTr="003D1A59">
        <w:tc>
          <w:tcPr>
            <w:tcW w:w="2405" w:type="dxa"/>
          </w:tcPr>
          <w:p w14:paraId="6421B58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7C3E63F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40E5CD11" w14:textId="77777777" w:rsidTr="003D1A59">
        <w:tc>
          <w:tcPr>
            <w:tcW w:w="2405" w:type="dxa"/>
          </w:tcPr>
          <w:p w14:paraId="4067962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60F8B93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3884A1FC" w14:textId="77777777" w:rsidTr="003D1A59">
        <w:tc>
          <w:tcPr>
            <w:tcW w:w="2405" w:type="dxa"/>
          </w:tcPr>
          <w:p w14:paraId="4AF8E27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33"/>
            </w:r>
            <w:r w:rsidRPr="00C24D02">
              <w:rPr>
                <w:rFonts w:asciiTheme="minorHAnsi" w:eastAsia="Calibri" w:hAnsiTheme="minorHAnsi" w:cstheme="minorHAnsi"/>
              </w:rPr>
              <w:t>)</w:t>
            </w:r>
          </w:p>
        </w:tc>
        <w:tc>
          <w:tcPr>
            <w:tcW w:w="6378" w:type="dxa"/>
          </w:tcPr>
          <w:p w14:paraId="4914A82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3/5/5/5/</w:t>
            </w:r>
          </w:p>
        </w:tc>
      </w:tr>
      <w:tr w:rsidR="00317816" w:rsidRPr="00C24D02" w14:paraId="24A16168" w14:textId="77777777" w:rsidTr="003D1A59">
        <w:tc>
          <w:tcPr>
            <w:tcW w:w="2405" w:type="dxa"/>
          </w:tcPr>
          <w:p w14:paraId="5347200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Návrh rozhodnutí Rady</w:t>
            </w:r>
          </w:p>
        </w:tc>
        <w:tc>
          <w:tcPr>
            <w:tcW w:w="6378" w:type="dxa"/>
          </w:tcPr>
          <w:p w14:paraId="6AA3AFEF" w14:textId="1EA62E69" w:rsidR="00317816" w:rsidRPr="00C24D02" w:rsidRDefault="001E4C4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r>
              <w:rPr>
                <w:rFonts w:asciiTheme="minorHAnsi" w:eastAsia="Calibri" w:hAnsiTheme="minorHAnsi" w:cstheme="minorHAnsi"/>
                <w:b/>
              </w:rPr>
              <w:t>.</w:t>
            </w:r>
          </w:p>
        </w:tc>
      </w:tr>
    </w:tbl>
    <w:p w14:paraId="5E2296BD" w14:textId="77777777" w:rsidR="00317816" w:rsidRPr="00C24D02" w:rsidRDefault="00317816" w:rsidP="00317816">
      <w:pPr>
        <w:spacing w:after="144" w:line="360" w:lineRule="auto"/>
        <w:rPr>
          <w:rFonts w:asciiTheme="minorHAnsi" w:hAnsiTheme="minorHAnsi" w:cstheme="minorHAnsi"/>
        </w:rPr>
      </w:pPr>
    </w:p>
    <w:p w14:paraId="6FFDC732"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Nesprávně stanovené kritérium PP/SR</w:t>
      </w:r>
    </w:p>
    <w:p w14:paraId="75CFB0A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A046DB5" w14:textId="0D459221" w:rsidR="00317816" w:rsidRPr="00C24D02" w:rsidRDefault="00317816" w:rsidP="001E4C46">
      <w:pPr>
        <w:spacing w:after="144" w:line="360" w:lineRule="auto"/>
        <w:ind w:firstLine="357"/>
        <w:jc w:val="both"/>
        <w:rPr>
          <w:rFonts w:asciiTheme="minorHAnsi" w:hAnsiTheme="minorHAnsi" w:cstheme="minorHAnsi"/>
        </w:rPr>
      </w:pPr>
      <w:r w:rsidRPr="00C24D02">
        <w:rPr>
          <w:rFonts w:asciiTheme="minorHAnsi" w:hAnsiTheme="minorHAnsi" w:cstheme="minorHAnsi"/>
        </w:rPr>
        <w:t>Administra</w:t>
      </w:r>
      <w:r w:rsidRPr="00C24D02">
        <w:rPr>
          <w:rFonts w:asciiTheme="minorHAnsi" w:eastAsia="Arial" w:hAnsiTheme="minorHAnsi" w:cstheme="minorHAnsi"/>
        </w:rPr>
        <w:t>ti</w:t>
      </w:r>
      <w:r w:rsidRPr="00C24D02">
        <w:rPr>
          <w:rFonts w:asciiTheme="minorHAnsi" w:hAnsiTheme="minorHAnsi" w:cstheme="minorHAnsi"/>
        </w:rPr>
        <w:t>vní chybou došlo bohužel k chybnému přiřazení hodno</w:t>
      </w:r>
      <w:r w:rsidRPr="00C24D02">
        <w:rPr>
          <w:rFonts w:asciiTheme="minorHAnsi" w:eastAsia="Arial" w:hAnsiTheme="minorHAnsi" w:cstheme="minorHAnsi"/>
        </w:rPr>
        <w:t>tícího</w:t>
      </w:r>
      <w:r w:rsidRPr="00C24D02">
        <w:rPr>
          <w:rFonts w:asciiTheme="minorHAnsi" w:hAnsiTheme="minorHAnsi" w:cstheme="minorHAnsi"/>
        </w:rPr>
        <w:t xml:space="preserve"> kritéria u všech námi vykazovaných bibliometrických výsledků v roce 2024, konkrétně osmi odborných článků v mezinárodních impaktovaných časopisech za období let 2019</w:t>
      </w:r>
      <w:r w:rsidR="001E4C46">
        <w:rPr>
          <w:rFonts w:asciiTheme="minorHAnsi" w:hAnsiTheme="minorHAnsi" w:cstheme="minorHAnsi"/>
        </w:rPr>
        <w:t xml:space="preserve"> </w:t>
      </w:r>
      <w:r w:rsidRPr="00C24D02">
        <w:rPr>
          <w:rFonts w:asciiTheme="minorHAnsi" w:hAnsiTheme="minorHAnsi" w:cstheme="minorHAnsi"/>
        </w:rPr>
        <w:t>až 2023 (viz příloha č. 1). U všech těchto výsledků se jedná o výstupy základního výzkumu a hodnocením kritériem je tedy „Přínos k poznání“ a nikoliv chybně zadaná „Společenská relevance“. Tato zásadní chyba nastala při vkládání výsledků v systému SKV, kdy je u každého nového výsledku automa</w:t>
      </w:r>
      <w:r w:rsidRPr="00C24D02">
        <w:rPr>
          <w:rFonts w:asciiTheme="minorHAnsi" w:eastAsia="Arial" w:hAnsiTheme="minorHAnsi" w:cstheme="minorHAnsi"/>
        </w:rPr>
        <w:t>ti</w:t>
      </w:r>
      <w:r w:rsidRPr="00C24D02">
        <w:rPr>
          <w:rFonts w:asciiTheme="minorHAnsi" w:hAnsiTheme="minorHAnsi" w:cstheme="minorHAnsi"/>
        </w:rPr>
        <w:t>cky přednastavena volba „Společenská relevance“ (viz příloha č. 2). Administra</w:t>
      </w:r>
      <w:r w:rsidRPr="00C24D02">
        <w:rPr>
          <w:rFonts w:asciiTheme="minorHAnsi" w:eastAsia="Arial" w:hAnsiTheme="minorHAnsi" w:cstheme="minorHAnsi"/>
        </w:rPr>
        <w:t>ti</w:t>
      </w:r>
      <w:r w:rsidRPr="00C24D02">
        <w:rPr>
          <w:rFonts w:asciiTheme="minorHAnsi" w:hAnsiTheme="minorHAnsi" w:cstheme="minorHAnsi"/>
        </w:rPr>
        <w:t>vní pracovnice bohužel opomněla u impaktovaných publikací přepnout volbu kritéria. Po exportu vybraných výsledků do xls tabulky jsme při následné kontrole bohužel tuto chybu přehlédli. Výsledky tak ve většině případů obdržely od panelistů nejhorší známku 5, neboť jejich přínos z pohledu „Společenské relevance“ a přímý ekonomický dopad na ČR je v blízké budoucnos</w:t>
      </w:r>
      <w:r w:rsidRPr="00C24D02">
        <w:rPr>
          <w:rFonts w:asciiTheme="minorHAnsi" w:eastAsia="Arial" w:hAnsiTheme="minorHAnsi" w:cstheme="minorHAnsi"/>
        </w:rPr>
        <w:t>ti</w:t>
      </w:r>
      <w:r w:rsidRPr="00C24D02">
        <w:rPr>
          <w:rFonts w:asciiTheme="minorHAnsi" w:hAnsiTheme="minorHAnsi" w:cstheme="minorHAnsi"/>
        </w:rPr>
        <w:t xml:space="preserve"> nízký. Chtěli bychom požádat, zda by bylo možné osm bibliometrických výsledků (impaktovaných publikací) přihlášených v roce 2024 zhodno</w:t>
      </w:r>
      <w:r w:rsidRPr="00C24D02">
        <w:rPr>
          <w:rFonts w:asciiTheme="minorHAnsi" w:eastAsia="Arial" w:hAnsiTheme="minorHAnsi" w:cstheme="minorHAnsi"/>
        </w:rPr>
        <w:t>ti</w:t>
      </w:r>
      <w:r w:rsidRPr="00C24D02">
        <w:rPr>
          <w:rFonts w:asciiTheme="minorHAnsi" w:hAnsiTheme="minorHAnsi" w:cstheme="minorHAnsi"/>
        </w:rPr>
        <w:t>t ještě jednou, samozřejmě v nezměněné podobě zdůvodnění a dalších podkladů, tentokráte však s ohledem na kritérium „Přínos k poznání“.</w:t>
      </w:r>
    </w:p>
    <w:p w14:paraId="06F1814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Námitka má charakter žádosti o znovuzhodnocení výsledku podle kritéria „přínos k poznání“. Hodnocení je již uzavřeno, a tudíž nelze žádosti vyhovět.</w:t>
      </w:r>
    </w:p>
    <w:p w14:paraId="79F9A0C3"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78995179"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616B8E5E" w14:textId="3977FA2C"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názorem panelu, který je v souladu se závaznými dokumenty Metodiky 2017+. Ty stanoví, že volba kritéria hodnocení v Modulu M1 je výhradní volbou nominující výzkumné organizace. Uvědomuje si ale také, že by opakovaná administrativní chyba neměla zásadně ovlivnit hodnocení vědeckovýzkumné činnosti organizace. Navrhuje </w:t>
      </w:r>
      <w:r w:rsidRPr="00C24D02">
        <w:rPr>
          <w:rFonts w:asciiTheme="minorHAnsi" w:hAnsiTheme="minorHAnsi" w:cstheme="minorHAnsi"/>
        </w:rPr>
        <w:lastRenderedPageBreak/>
        <w:t>proto výjimečně vrátit výsledek do hodnocení a hodnotit ve stejném panelu podle kritéria Přínos k poznání.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16711A7" w14:textId="77777777" w:rsidTr="003D1A59">
        <w:tc>
          <w:tcPr>
            <w:tcW w:w="2405" w:type="dxa"/>
          </w:tcPr>
          <w:p w14:paraId="76419FF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EA37FB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TERMOMECHANIKY AV ČR</w:t>
            </w:r>
          </w:p>
        </w:tc>
      </w:tr>
      <w:tr w:rsidR="00317816" w:rsidRPr="00C24D02" w14:paraId="6B49CCF6" w14:textId="77777777" w:rsidTr="003D1A59">
        <w:tc>
          <w:tcPr>
            <w:tcW w:w="2405" w:type="dxa"/>
          </w:tcPr>
          <w:p w14:paraId="1A1D17C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925D42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192342766</w:t>
            </w:r>
          </w:p>
        </w:tc>
      </w:tr>
      <w:tr w:rsidR="00317816" w:rsidRPr="00C24D02" w14:paraId="4F459C69" w14:textId="77777777" w:rsidTr="003D1A59">
        <w:trPr>
          <w:trHeight w:val="741"/>
        </w:trPr>
        <w:tc>
          <w:tcPr>
            <w:tcW w:w="2405" w:type="dxa"/>
          </w:tcPr>
          <w:p w14:paraId="0948FAE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4FCEE57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Experimentally validated constitutive model for NiTi-based shape memory alloys featuring intermediate R-phase transformation: A case study of Ni48Ti49Fe3</w:t>
            </w:r>
          </w:p>
        </w:tc>
      </w:tr>
      <w:tr w:rsidR="00317816" w:rsidRPr="00C24D02" w14:paraId="5E3FC4DA" w14:textId="77777777" w:rsidTr="003D1A59">
        <w:tc>
          <w:tcPr>
            <w:tcW w:w="2405" w:type="dxa"/>
          </w:tcPr>
          <w:p w14:paraId="3C8E38F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72D41B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4ADCBE87" w14:textId="77777777" w:rsidTr="003D1A59">
        <w:tc>
          <w:tcPr>
            <w:tcW w:w="2405" w:type="dxa"/>
          </w:tcPr>
          <w:p w14:paraId="4F6FCD3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F1F9D2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143F2C2C" w14:textId="77777777" w:rsidTr="003D1A59">
        <w:tc>
          <w:tcPr>
            <w:tcW w:w="2405" w:type="dxa"/>
          </w:tcPr>
          <w:p w14:paraId="1186275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34"/>
            </w:r>
            <w:r w:rsidRPr="00C24D02">
              <w:rPr>
                <w:rFonts w:asciiTheme="minorHAnsi" w:eastAsia="Calibri" w:hAnsiTheme="minorHAnsi" w:cstheme="minorHAnsi"/>
              </w:rPr>
              <w:t>)</w:t>
            </w:r>
          </w:p>
        </w:tc>
        <w:tc>
          <w:tcPr>
            <w:tcW w:w="6378" w:type="dxa"/>
          </w:tcPr>
          <w:p w14:paraId="629F4C4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5/5/-/5</w:t>
            </w:r>
          </w:p>
        </w:tc>
      </w:tr>
      <w:tr w:rsidR="00317816" w:rsidRPr="00C24D02" w14:paraId="2C2C32B4" w14:textId="77777777" w:rsidTr="003D1A59">
        <w:tc>
          <w:tcPr>
            <w:tcW w:w="2405" w:type="dxa"/>
          </w:tcPr>
          <w:p w14:paraId="568E53A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2D2CD676" w14:textId="54547F4F" w:rsidR="00317816" w:rsidRPr="00C24D02" w:rsidRDefault="001E4C4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r>
              <w:rPr>
                <w:rFonts w:asciiTheme="minorHAnsi" w:eastAsia="Calibri" w:hAnsiTheme="minorHAnsi" w:cstheme="minorHAnsi"/>
                <w:b/>
              </w:rPr>
              <w:t>.</w:t>
            </w:r>
          </w:p>
        </w:tc>
      </w:tr>
    </w:tbl>
    <w:p w14:paraId="36A1E1F5" w14:textId="77777777" w:rsidR="00317816" w:rsidRPr="00C24D02" w:rsidRDefault="00317816" w:rsidP="00317816">
      <w:pPr>
        <w:spacing w:after="144" w:line="360" w:lineRule="auto"/>
        <w:rPr>
          <w:rFonts w:asciiTheme="minorHAnsi" w:hAnsiTheme="minorHAnsi" w:cstheme="minorHAnsi"/>
        </w:rPr>
      </w:pPr>
    </w:p>
    <w:p w14:paraId="7B66412D"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Nesprávně stanovené kritérium PP/SR</w:t>
      </w:r>
    </w:p>
    <w:p w14:paraId="1CDF5F0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04C3C0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Administra</w:t>
      </w:r>
      <w:r w:rsidRPr="00C24D02">
        <w:rPr>
          <w:rFonts w:asciiTheme="minorHAnsi" w:eastAsia="Arial" w:hAnsiTheme="minorHAnsi" w:cstheme="minorHAnsi"/>
        </w:rPr>
        <w:t>ti</w:t>
      </w:r>
      <w:r w:rsidRPr="00C24D02">
        <w:rPr>
          <w:rFonts w:asciiTheme="minorHAnsi" w:hAnsiTheme="minorHAnsi" w:cstheme="minorHAnsi"/>
        </w:rPr>
        <w:t>vní chybou došlo bohužel k chybnému přiřazení hodno</w:t>
      </w:r>
      <w:r w:rsidRPr="00C24D02">
        <w:rPr>
          <w:rFonts w:asciiTheme="minorHAnsi" w:eastAsia="Arial" w:hAnsiTheme="minorHAnsi" w:cstheme="minorHAnsi"/>
        </w:rPr>
        <w:t>tícího</w:t>
      </w:r>
      <w:r w:rsidRPr="00C24D02">
        <w:rPr>
          <w:rFonts w:asciiTheme="minorHAnsi" w:hAnsiTheme="minorHAnsi" w:cstheme="minorHAnsi"/>
        </w:rPr>
        <w:t xml:space="preserve"> kritéria u všech námi vykazovaných bibliometrických výsledků v roce 2024, konkrétně osmi odborných článků v mezinárodních impaktovaných časopisech za období let 2019</w:t>
      </w:r>
    </w:p>
    <w:p w14:paraId="47A76E6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až 2023 (viz příloha č. 1). U všech těchto výsledků se jedná o výstupy základního výzkumu a hodnocením kritériem je tedy „Přínos k poznání“ a nikoliv chybně zadaná „Společenská relevance“. Tato zásadní chyba nastala při vkládání výsledků v systému SKV, kdy je u každého nového výsledku automa</w:t>
      </w:r>
      <w:r w:rsidRPr="00C24D02">
        <w:rPr>
          <w:rFonts w:asciiTheme="minorHAnsi" w:eastAsia="Arial" w:hAnsiTheme="minorHAnsi" w:cstheme="minorHAnsi"/>
        </w:rPr>
        <w:t>ti</w:t>
      </w:r>
      <w:r w:rsidRPr="00C24D02">
        <w:rPr>
          <w:rFonts w:asciiTheme="minorHAnsi" w:hAnsiTheme="minorHAnsi" w:cstheme="minorHAnsi"/>
        </w:rPr>
        <w:t>cky přednastavena volba „Společenská relevance“ (viz příloha č. 2). Administra</w:t>
      </w:r>
      <w:r w:rsidRPr="00C24D02">
        <w:rPr>
          <w:rFonts w:asciiTheme="minorHAnsi" w:eastAsia="Arial" w:hAnsiTheme="minorHAnsi" w:cstheme="minorHAnsi"/>
        </w:rPr>
        <w:t>ti</w:t>
      </w:r>
      <w:r w:rsidRPr="00C24D02">
        <w:rPr>
          <w:rFonts w:asciiTheme="minorHAnsi" w:hAnsiTheme="minorHAnsi" w:cstheme="minorHAnsi"/>
        </w:rPr>
        <w:t xml:space="preserve">vní pracovnice bohužel opomněla u impaktovaných publikací přepnout volbu kritéria. Po exportu vybraných výsledků do xls tabulky jsme při následné kontrole bohužel tuto chybu přehlédli. Výsledky tak ve většině případů obdržely od panelistů nejhorší známku 5, </w:t>
      </w:r>
      <w:r w:rsidRPr="00C24D02">
        <w:rPr>
          <w:rFonts w:asciiTheme="minorHAnsi" w:hAnsiTheme="minorHAnsi" w:cstheme="minorHAnsi"/>
        </w:rPr>
        <w:lastRenderedPageBreak/>
        <w:t>neboť jejich přínos z pohledu „Společenské relevance“ a přímý ekonomický dopad na ČR je v blízké budoucnos</w:t>
      </w:r>
      <w:r w:rsidRPr="00C24D02">
        <w:rPr>
          <w:rFonts w:asciiTheme="minorHAnsi" w:eastAsia="Arial" w:hAnsiTheme="minorHAnsi" w:cstheme="minorHAnsi"/>
        </w:rPr>
        <w:t>ti</w:t>
      </w:r>
      <w:r w:rsidRPr="00C24D02">
        <w:rPr>
          <w:rFonts w:asciiTheme="minorHAnsi" w:hAnsiTheme="minorHAnsi" w:cstheme="minorHAnsi"/>
        </w:rPr>
        <w:t xml:space="preserve"> nízký. Chtěli bychom požádat, zda by bylo možné osm bibliometrických výsledků (impaktovaných publikací) přihlášených v roce 2024 zhodno</w:t>
      </w:r>
      <w:r w:rsidRPr="00C24D02">
        <w:rPr>
          <w:rFonts w:asciiTheme="minorHAnsi" w:eastAsia="Arial" w:hAnsiTheme="minorHAnsi" w:cstheme="minorHAnsi"/>
        </w:rPr>
        <w:t>ti</w:t>
      </w:r>
      <w:r w:rsidRPr="00C24D02">
        <w:rPr>
          <w:rFonts w:asciiTheme="minorHAnsi" w:hAnsiTheme="minorHAnsi" w:cstheme="minorHAnsi"/>
        </w:rPr>
        <w:t>t ještě jednou, samozřejmě v nezměněné podobě zdůvodnění a dalších podkladů, tentokráte však s ohledem na kritérium „Přínos k poznání“.</w:t>
      </w:r>
    </w:p>
    <w:p w14:paraId="7D44009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Námitka má charakter žádosti o znovuzhodnocení výsledku podle kritéria „přínos k poznání“. Hodnocení je již uzavřeno, a tudíž nelze žádosti vyhovět.</w:t>
      </w:r>
    </w:p>
    <w:p w14:paraId="34D6CAFD"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2F361FC2"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5575D95F" w14:textId="4AC541BA"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názorem panelu, který je v souladu se závaznými dokumenty Metodiky 2017+. Ty stanoví, že volba kritéria hodnocení v Modulu M1 je výhradní volbou nominující výzkumné organizace. Uvědomuje si ale také, že by opakovaná administrativní chyba neměla zásadně ovlivnit hodnocení vědeckovýzkumné činnosti organizace. Navrhuje proto výjimečně vrátit výsledek do hodnocení a hodnotit ve stejném panelu podle kritéria Přínos k poznání.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EC0FF3E" w14:textId="77777777" w:rsidTr="003D1A59">
        <w:tc>
          <w:tcPr>
            <w:tcW w:w="2405" w:type="dxa"/>
          </w:tcPr>
          <w:p w14:paraId="2520E82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A7612E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TERMOMECHANIKY AV ČR</w:t>
            </w:r>
          </w:p>
        </w:tc>
      </w:tr>
      <w:tr w:rsidR="00317816" w:rsidRPr="00C24D02" w14:paraId="6E378647" w14:textId="77777777" w:rsidTr="003D1A59">
        <w:tc>
          <w:tcPr>
            <w:tcW w:w="2405" w:type="dxa"/>
          </w:tcPr>
          <w:p w14:paraId="6D0CABC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1A273C0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192342763</w:t>
            </w:r>
          </w:p>
        </w:tc>
      </w:tr>
      <w:tr w:rsidR="00317816" w:rsidRPr="00C24D02" w14:paraId="466D04AE" w14:textId="77777777" w:rsidTr="003D1A59">
        <w:trPr>
          <w:trHeight w:val="741"/>
        </w:trPr>
        <w:tc>
          <w:tcPr>
            <w:tcW w:w="2405" w:type="dxa"/>
          </w:tcPr>
          <w:p w14:paraId="63273D8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7370B8C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Evolution of elastic constants of the NiTi shape memory alloy during a stress-induced martensitic transformation</w:t>
            </w:r>
          </w:p>
        </w:tc>
      </w:tr>
      <w:tr w:rsidR="00317816" w:rsidRPr="00C24D02" w14:paraId="380D4B24" w14:textId="77777777" w:rsidTr="003D1A59">
        <w:tc>
          <w:tcPr>
            <w:tcW w:w="2405" w:type="dxa"/>
          </w:tcPr>
          <w:p w14:paraId="5F595A2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1E48D4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1.3</w:t>
            </w:r>
          </w:p>
        </w:tc>
      </w:tr>
      <w:tr w:rsidR="00317816" w:rsidRPr="00C24D02" w14:paraId="08E8C719" w14:textId="77777777" w:rsidTr="003D1A59">
        <w:tc>
          <w:tcPr>
            <w:tcW w:w="2405" w:type="dxa"/>
          </w:tcPr>
          <w:p w14:paraId="7108763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6CAB765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460780C7" w14:textId="77777777" w:rsidTr="003D1A59">
        <w:tc>
          <w:tcPr>
            <w:tcW w:w="2405" w:type="dxa"/>
          </w:tcPr>
          <w:p w14:paraId="652AC08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35"/>
            </w:r>
            <w:r w:rsidRPr="00C24D02">
              <w:rPr>
                <w:rFonts w:asciiTheme="minorHAnsi" w:eastAsia="Calibri" w:hAnsiTheme="minorHAnsi" w:cstheme="minorHAnsi"/>
              </w:rPr>
              <w:t>)</w:t>
            </w:r>
          </w:p>
        </w:tc>
        <w:tc>
          <w:tcPr>
            <w:tcW w:w="6378" w:type="dxa"/>
          </w:tcPr>
          <w:p w14:paraId="3429E37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5/5/-/5</w:t>
            </w:r>
          </w:p>
        </w:tc>
      </w:tr>
      <w:tr w:rsidR="00317816" w:rsidRPr="00C24D02" w14:paraId="5F4EEAA6" w14:textId="77777777" w:rsidTr="003D1A59">
        <w:tc>
          <w:tcPr>
            <w:tcW w:w="2405" w:type="dxa"/>
          </w:tcPr>
          <w:p w14:paraId="28E42F8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Návrh rozhodnutí Rady</w:t>
            </w:r>
          </w:p>
        </w:tc>
        <w:tc>
          <w:tcPr>
            <w:tcW w:w="6378" w:type="dxa"/>
          </w:tcPr>
          <w:p w14:paraId="54FF4034" w14:textId="7F23FF4B" w:rsidR="00317816" w:rsidRPr="00C24D02" w:rsidRDefault="001E4C4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r>
              <w:rPr>
                <w:rFonts w:asciiTheme="minorHAnsi" w:eastAsia="Calibri" w:hAnsiTheme="minorHAnsi" w:cstheme="minorHAnsi"/>
                <w:b/>
              </w:rPr>
              <w:t>.</w:t>
            </w:r>
          </w:p>
        </w:tc>
      </w:tr>
    </w:tbl>
    <w:p w14:paraId="718CC163" w14:textId="77777777" w:rsidR="00317816" w:rsidRPr="00C24D02" w:rsidRDefault="00317816" w:rsidP="00317816">
      <w:pPr>
        <w:spacing w:after="144" w:line="360" w:lineRule="auto"/>
        <w:rPr>
          <w:rFonts w:asciiTheme="minorHAnsi" w:hAnsiTheme="minorHAnsi" w:cstheme="minorHAnsi"/>
        </w:rPr>
      </w:pPr>
    </w:p>
    <w:p w14:paraId="3FE3E010"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Nesprávně stanovené kritérium PP/SR</w:t>
      </w:r>
    </w:p>
    <w:p w14:paraId="24178B4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646BE8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Administra</w:t>
      </w:r>
      <w:r w:rsidRPr="00C24D02">
        <w:rPr>
          <w:rFonts w:asciiTheme="minorHAnsi" w:eastAsia="Arial" w:hAnsiTheme="minorHAnsi" w:cstheme="minorHAnsi"/>
        </w:rPr>
        <w:t>ti</w:t>
      </w:r>
      <w:r w:rsidRPr="00C24D02">
        <w:rPr>
          <w:rFonts w:asciiTheme="minorHAnsi" w:hAnsiTheme="minorHAnsi" w:cstheme="minorHAnsi"/>
        </w:rPr>
        <w:t>vní chybou došlo bohužel k chybnému přiřazení hodno</w:t>
      </w:r>
      <w:r w:rsidRPr="00C24D02">
        <w:rPr>
          <w:rFonts w:asciiTheme="minorHAnsi" w:eastAsia="Arial" w:hAnsiTheme="minorHAnsi" w:cstheme="minorHAnsi"/>
        </w:rPr>
        <w:t>tícího</w:t>
      </w:r>
      <w:r w:rsidRPr="00C24D02">
        <w:rPr>
          <w:rFonts w:asciiTheme="minorHAnsi" w:hAnsiTheme="minorHAnsi" w:cstheme="minorHAnsi"/>
        </w:rPr>
        <w:t xml:space="preserve"> kritéria u všech námi vykazovaných bibliometrických výsledků v roce 2024, konkrétně osmi odborných článků v mezinárodních impaktovaných časopisech za období let 2019</w:t>
      </w:r>
    </w:p>
    <w:p w14:paraId="5307AFB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až 2023 (viz příloha č. 1). U všech těchto výsledků se jedná o výstupy základního výzkumu a hodnocením kritériem je tedy „Přínos k poznání“ a nikoliv chybně zadaná „Společenská relevance“. Tato zásadní chyba nastala při vkládání výsledků v systému SKV, kdy je u každého nového výsledku automa</w:t>
      </w:r>
      <w:r w:rsidRPr="00C24D02">
        <w:rPr>
          <w:rFonts w:asciiTheme="minorHAnsi" w:eastAsia="Arial" w:hAnsiTheme="minorHAnsi" w:cstheme="minorHAnsi"/>
        </w:rPr>
        <w:t>ti</w:t>
      </w:r>
      <w:r w:rsidRPr="00C24D02">
        <w:rPr>
          <w:rFonts w:asciiTheme="minorHAnsi" w:hAnsiTheme="minorHAnsi" w:cstheme="minorHAnsi"/>
        </w:rPr>
        <w:t>cky přednastavena volba „Společenská relevance“ (viz příloha č. 2). Administra</w:t>
      </w:r>
      <w:r w:rsidRPr="00C24D02">
        <w:rPr>
          <w:rFonts w:asciiTheme="minorHAnsi" w:eastAsia="Arial" w:hAnsiTheme="minorHAnsi" w:cstheme="minorHAnsi"/>
        </w:rPr>
        <w:t>ti</w:t>
      </w:r>
      <w:r w:rsidRPr="00C24D02">
        <w:rPr>
          <w:rFonts w:asciiTheme="minorHAnsi" w:hAnsiTheme="minorHAnsi" w:cstheme="minorHAnsi"/>
        </w:rPr>
        <w:t>vní pracovnice bohužel opomněla u impaktovaných publikací přepnout volbu kritéria. Po exportu vybraných výsledků do xls tabulky jsme při následné kontrole bohužel tuto chybu přehlédli. Výsledky tak ve většině případů obdržely od panelistů nejhorší známku 5, neboť jejich přínos z pohledu „Společenské relevance“ a přímý ekonomický dopad na ČR je v blízké budoucnos</w:t>
      </w:r>
      <w:r w:rsidRPr="00C24D02">
        <w:rPr>
          <w:rFonts w:asciiTheme="minorHAnsi" w:eastAsia="Arial" w:hAnsiTheme="minorHAnsi" w:cstheme="minorHAnsi"/>
        </w:rPr>
        <w:t>ti</w:t>
      </w:r>
      <w:r w:rsidRPr="00C24D02">
        <w:rPr>
          <w:rFonts w:asciiTheme="minorHAnsi" w:hAnsiTheme="minorHAnsi" w:cstheme="minorHAnsi"/>
        </w:rPr>
        <w:t xml:space="preserve"> nízký. Chtěli bychom požádat, zda by bylo možné osm bibliometrických výsledků (impaktovaných publikací) přihlášených v roce 2024 zhodno</w:t>
      </w:r>
      <w:r w:rsidRPr="00C24D02">
        <w:rPr>
          <w:rFonts w:asciiTheme="minorHAnsi" w:eastAsia="Arial" w:hAnsiTheme="minorHAnsi" w:cstheme="minorHAnsi"/>
        </w:rPr>
        <w:t>ti</w:t>
      </w:r>
      <w:r w:rsidRPr="00C24D02">
        <w:rPr>
          <w:rFonts w:asciiTheme="minorHAnsi" w:hAnsiTheme="minorHAnsi" w:cstheme="minorHAnsi"/>
        </w:rPr>
        <w:t>t ještě jednou, samozřejmě v nezměněné podobě zdůvodnění a dalších podkladů, tentokráte však s ohledem na kritérium „Přínos k poznání“.</w:t>
      </w:r>
    </w:p>
    <w:p w14:paraId="68ED9AB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Hodnoticí komise provedla posouzení předloženého výsledku v souladu s platnými pokyny. Výsledek prošel kontrolou formální správnosti a byl předán hodnotitelům, kteří svůj úkol splnili. V souladu s pravidly hodnocení byl výsledek posouzen podle kritéria společenská relevance výsledku, které si zvolila sama předkládající instituce. Výběr kritéria splnil všechny formální náležitosti a hodnotitelé byli povinni výsledek hodnotit právě podle tohoto přiřazeného kritéria. Přezkumné řízení neshledalo v uvedeném postupu žádné nedostatky ani porušení pravidel hodnocení. Předložená hodnocení jsou věcná a objektivní, a to s ohledem na zvolené hodnoticí kritérium. Výsledek byl tedy řádně ohodnocen a jeho další přehodnocení není možné.</w:t>
      </w:r>
    </w:p>
    <w:p w14:paraId="7E5502A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lastRenderedPageBreak/>
        <w:t xml:space="preserve">Vyjádření Odborného panelu: </w:t>
      </w:r>
      <w:r w:rsidRPr="00C24D02">
        <w:rPr>
          <w:rFonts w:asciiTheme="minorHAnsi" w:hAnsiTheme="minorHAnsi" w:cstheme="minorHAnsi"/>
        </w:rPr>
        <w:t>Panel navrhuje námitce nevyhovět a ponechat původní hodnocení stupněm 5.</w:t>
      </w:r>
    </w:p>
    <w:p w14:paraId="1E545010"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6C02D3C3" w14:textId="0C774AF3"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názorem panelu, který je v souladu se závaznými dokumenty Metodiky 2017+. Ty stanoví, že volba kritéria hodnocení v Modulu M1 je výhradní volbou nominující výzkumné organizace. Uvědomuje si ale také, že by opakovaná administrativní chyba neměla zásadně ovlivnit hodnocení vědeckovýzkumné činnosti organizace. Navrhuje proto výjimečně vrátit výsledek do hodnocení a hodnotit ve stejném panelu podle kritéria Přínos k poznání.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9BD4846" w14:textId="77777777" w:rsidTr="003D1A59">
        <w:tc>
          <w:tcPr>
            <w:tcW w:w="2405" w:type="dxa"/>
          </w:tcPr>
          <w:p w14:paraId="4382BF3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09EED06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TERMOMECHANIKY AV ČR</w:t>
            </w:r>
          </w:p>
        </w:tc>
      </w:tr>
      <w:tr w:rsidR="00317816" w:rsidRPr="00C24D02" w14:paraId="3431D18A" w14:textId="77777777" w:rsidTr="003D1A59">
        <w:tc>
          <w:tcPr>
            <w:tcW w:w="2405" w:type="dxa"/>
          </w:tcPr>
          <w:p w14:paraId="5D8A64E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14D794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192252202</w:t>
            </w:r>
          </w:p>
        </w:tc>
      </w:tr>
      <w:tr w:rsidR="00317816" w:rsidRPr="00C24D02" w14:paraId="255474E5" w14:textId="77777777" w:rsidTr="003D1A59">
        <w:trPr>
          <w:trHeight w:val="741"/>
        </w:trPr>
        <w:tc>
          <w:tcPr>
            <w:tcW w:w="2405" w:type="dxa"/>
          </w:tcPr>
          <w:p w14:paraId="7640589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D92D72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Thermoviscoelasticity in Kelvin–Voigt Rheology at Large Strains</w:t>
            </w:r>
          </w:p>
        </w:tc>
      </w:tr>
      <w:tr w:rsidR="00317816" w:rsidRPr="00C24D02" w14:paraId="3B145E30" w14:textId="77777777" w:rsidTr="003D1A59">
        <w:tc>
          <w:tcPr>
            <w:tcW w:w="2405" w:type="dxa"/>
          </w:tcPr>
          <w:p w14:paraId="34152F7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2BCB8E0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1.1</w:t>
            </w:r>
          </w:p>
        </w:tc>
      </w:tr>
      <w:tr w:rsidR="00317816" w:rsidRPr="00C24D02" w14:paraId="6A63F7CC" w14:textId="77777777" w:rsidTr="003D1A59">
        <w:tc>
          <w:tcPr>
            <w:tcW w:w="2405" w:type="dxa"/>
          </w:tcPr>
          <w:p w14:paraId="176E216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703DDE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7968B975" w14:textId="77777777" w:rsidTr="003D1A59">
        <w:tc>
          <w:tcPr>
            <w:tcW w:w="2405" w:type="dxa"/>
          </w:tcPr>
          <w:p w14:paraId="18263F1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36"/>
            </w:r>
            <w:r w:rsidRPr="00C24D02">
              <w:rPr>
                <w:rFonts w:asciiTheme="minorHAnsi" w:eastAsia="Calibri" w:hAnsiTheme="minorHAnsi" w:cstheme="minorHAnsi"/>
              </w:rPr>
              <w:t>)</w:t>
            </w:r>
          </w:p>
        </w:tc>
        <w:tc>
          <w:tcPr>
            <w:tcW w:w="6378" w:type="dxa"/>
          </w:tcPr>
          <w:p w14:paraId="0E4EA04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Nehodnoceno</w:t>
            </w:r>
          </w:p>
        </w:tc>
      </w:tr>
      <w:tr w:rsidR="00317816" w:rsidRPr="00C24D02" w14:paraId="7A185F95" w14:textId="77777777" w:rsidTr="003D1A59">
        <w:tc>
          <w:tcPr>
            <w:tcW w:w="2405" w:type="dxa"/>
          </w:tcPr>
          <w:p w14:paraId="419FB7A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2754C50E" w14:textId="24BE00ED" w:rsidR="00317816" w:rsidRPr="00C24D02" w:rsidRDefault="001E4C4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r>
              <w:rPr>
                <w:rFonts w:asciiTheme="minorHAnsi" w:eastAsia="Calibri" w:hAnsiTheme="minorHAnsi" w:cstheme="minorHAnsi"/>
                <w:b/>
              </w:rPr>
              <w:t>.</w:t>
            </w:r>
          </w:p>
        </w:tc>
      </w:tr>
    </w:tbl>
    <w:p w14:paraId="1417CB7F" w14:textId="77777777" w:rsidR="00317816" w:rsidRPr="00C24D02" w:rsidRDefault="00317816" w:rsidP="00317816">
      <w:pPr>
        <w:spacing w:after="144" w:line="360" w:lineRule="auto"/>
        <w:rPr>
          <w:rFonts w:asciiTheme="minorHAnsi" w:hAnsiTheme="minorHAnsi" w:cstheme="minorHAnsi"/>
        </w:rPr>
      </w:pPr>
    </w:p>
    <w:p w14:paraId="6FE67E0E"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Nesprávně stanovené kritérium PP/SR</w:t>
      </w:r>
    </w:p>
    <w:p w14:paraId="787EE4C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71AC21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Administra</w:t>
      </w:r>
      <w:r w:rsidRPr="00C24D02">
        <w:rPr>
          <w:rFonts w:asciiTheme="minorHAnsi" w:eastAsia="Arial" w:hAnsiTheme="minorHAnsi" w:cstheme="minorHAnsi"/>
        </w:rPr>
        <w:t>ti</w:t>
      </w:r>
      <w:r w:rsidRPr="00C24D02">
        <w:rPr>
          <w:rFonts w:asciiTheme="minorHAnsi" w:hAnsiTheme="minorHAnsi" w:cstheme="minorHAnsi"/>
        </w:rPr>
        <w:t>vní chybou došlo bohužel k chybnému přiřazení hodno</w:t>
      </w:r>
      <w:r w:rsidRPr="00C24D02">
        <w:rPr>
          <w:rFonts w:asciiTheme="minorHAnsi" w:eastAsia="Arial" w:hAnsiTheme="minorHAnsi" w:cstheme="minorHAnsi"/>
        </w:rPr>
        <w:t>tícího</w:t>
      </w:r>
      <w:r w:rsidRPr="00C24D02">
        <w:rPr>
          <w:rFonts w:asciiTheme="minorHAnsi" w:hAnsiTheme="minorHAnsi" w:cstheme="minorHAnsi"/>
        </w:rPr>
        <w:t xml:space="preserve"> kritéria u všech námi vykazovaných bibliometrických výsledků v roce 2024, konkrétně osmi odborných článků v mezinárodních impaktovaných časopisech za období let 2019</w:t>
      </w:r>
    </w:p>
    <w:p w14:paraId="1895B21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až 2023 (viz příloha č. 1). U všech těchto výsledků se jedná o výstupy základního výzkumu a hodnocením kritériem je tedy „Přínos k poznání“ a nikoliv chybně zadaná „Společenská relevance“. Tato zásadní chyba nastala při vkládání výsledků v systému SKV, kdy je u každého nového výsledku automa</w:t>
      </w:r>
      <w:r w:rsidRPr="00C24D02">
        <w:rPr>
          <w:rFonts w:asciiTheme="minorHAnsi" w:eastAsia="Arial" w:hAnsiTheme="minorHAnsi" w:cstheme="minorHAnsi"/>
        </w:rPr>
        <w:t>ti</w:t>
      </w:r>
      <w:r w:rsidRPr="00C24D02">
        <w:rPr>
          <w:rFonts w:asciiTheme="minorHAnsi" w:hAnsiTheme="minorHAnsi" w:cstheme="minorHAnsi"/>
        </w:rPr>
        <w:t>cky přednastavena volba „Společenská relevance“ (viz příloha č. 2). Administra</w:t>
      </w:r>
      <w:r w:rsidRPr="00C24D02">
        <w:rPr>
          <w:rFonts w:asciiTheme="minorHAnsi" w:eastAsia="Arial" w:hAnsiTheme="minorHAnsi" w:cstheme="minorHAnsi"/>
        </w:rPr>
        <w:t>ti</w:t>
      </w:r>
      <w:r w:rsidRPr="00C24D02">
        <w:rPr>
          <w:rFonts w:asciiTheme="minorHAnsi" w:hAnsiTheme="minorHAnsi" w:cstheme="minorHAnsi"/>
        </w:rPr>
        <w:t>vní pracovnice bohužel opomněla u impaktovaných publikací přepnout volbu kritéria. Po exportu vybraných výsledků do xls tabulky jsme při následné kontrole bohužel tuto chybu přehlédli. Výsledky tak ve většině případů obdržely od panelistů nejhorší známku 5, neboť jejich přínos z pohledu „Společenské relevance“ a přímý ekonomický dopad na ČR je v blízké budoucnos</w:t>
      </w:r>
      <w:r w:rsidRPr="00C24D02">
        <w:rPr>
          <w:rFonts w:asciiTheme="minorHAnsi" w:eastAsia="Arial" w:hAnsiTheme="minorHAnsi" w:cstheme="minorHAnsi"/>
        </w:rPr>
        <w:t>ti</w:t>
      </w:r>
      <w:r w:rsidRPr="00C24D02">
        <w:rPr>
          <w:rFonts w:asciiTheme="minorHAnsi" w:hAnsiTheme="minorHAnsi" w:cstheme="minorHAnsi"/>
        </w:rPr>
        <w:t xml:space="preserve"> nízký. Chtěli bychom požádat, zda by bylo možné osm bibliometrických výsledků (impaktovaných publikací) přihlášených v roce 2024 zhodno</w:t>
      </w:r>
      <w:r w:rsidRPr="00C24D02">
        <w:rPr>
          <w:rFonts w:asciiTheme="minorHAnsi" w:eastAsia="Arial" w:hAnsiTheme="minorHAnsi" w:cstheme="minorHAnsi"/>
        </w:rPr>
        <w:t>ti</w:t>
      </w:r>
      <w:r w:rsidRPr="00C24D02">
        <w:rPr>
          <w:rFonts w:asciiTheme="minorHAnsi" w:hAnsiTheme="minorHAnsi" w:cstheme="minorHAnsi"/>
        </w:rPr>
        <w:t>t ještě jednou, samozřejmě v nezměněné podobě zdůvodnění a dalších podkladů, tentokráte však s ohledem na kritérium „Přínos k poznání“.</w:t>
      </w:r>
    </w:p>
    <w:p w14:paraId="41DD26B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Odborný panel setrvává na svém původním rozhodnutí ohledně hodnocení výsledku. Předkládající výzkumná organizace v žádosti o přezkum hodnocení výsledku nenapadá samotnou podstatu hodnocení výsledku, ale poukazuje na administrativní chybu, která však nebyla důvodem pro udělení výsledné známky ("40% contribution of T. Roubicek under his contract at IT CAS" - z této informace nevyplývá, že se prof. Roubíček dané problematice v rámci tohoto úvazku věnoval a že přínos instituce byl zásadní").</w:t>
      </w:r>
    </w:p>
    <w:p w14:paraId="5C2333F0"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N.</w:t>
      </w:r>
    </w:p>
    <w:p w14:paraId="4D8C68E3"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121EE6C6" w14:textId="5782FF9A"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názorem panelu, který je v souladu se závaznými dokumenty Metodiky 2017+. Ty stanoví, že volba kritéria hodnocení v Modulu M1 je výhradní volbou nominující výzkumné organizace. Uvědomuje si ale také, že by opakovaná administrativní chyba neměla zásadně ovlivnit hodnocení vědeckovýzkumné činnosti organizace. Navrhuje proto výjimečně vrátit výsledek do hodnocení a hodnotit ve stejném panelu podle kritéria Přínos k poznání.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691656E" w14:textId="77777777" w:rsidTr="003D1A59">
        <w:tc>
          <w:tcPr>
            <w:tcW w:w="2405" w:type="dxa"/>
          </w:tcPr>
          <w:p w14:paraId="4687E95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710476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TERMOMECHANIKY AV ČR</w:t>
            </w:r>
          </w:p>
        </w:tc>
      </w:tr>
      <w:tr w:rsidR="00317816" w:rsidRPr="00C24D02" w14:paraId="7AAEC114" w14:textId="77777777" w:rsidTr="003D1A59">
        <w:tc>
          <w:tcPr>
            <w:tcW w:w="2405" w:type="dxa"/>
          </w:tcPr>
          <w:p w14:paraId="42ED33A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Evidenční číslo</w:t>
            </w:r>
          </w:p>
        </w:tc>
        <w:tc>
          <w:tcPr>
            <w:tcW w:w="6378" w:type="dxa"/>
          </w:tcPr>
          <w:p w14:paraId="20E48AD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192161140</w:t>
            </w:r>
          </w:p>
        </w:tc>
      </w:tr>
      <w:tr w:rsidR="00317816" w:rsidRPr="00C24D02" w14:paraId="04AAE85C" w14:textId="77777777" w:rsidTr="003D1A59">
        <w:trPr>
          <w:trHeight w:val="741"/>
        </w:trPr>
        <w:tc>
          <w:tcPr>
            <w:tcW w:w="2405" w:type="dxa"/>
          </w:tcPr>
          <w:p w14:paraId="1D3202D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2A3E59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Non-conventional twins in five-layer modulated Ni-Mn-Ga martensite</w:t>
            </w:r>
          </w:p>
        </w:tc>
      </w:tr>
      <w:tr w:rsidR="00317816" w:rsidRPr="00C24D02" w14:paraId="513BE577" w14:textId="77777777" w:rsidTr="003D1A59">
        <w:tc>
          <w:tcPr>
            <w:tcW w:w="2405" w:type="dxa"/>
          </w:tcPr>
          <w:p w14:paraId="2BA0CE7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31E6CA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1.3</w:t>
            </w:r>
          </w:p>
        </w:tc>
      </w:tr>
      <w:tr w:rsidR="00317816" w:rsidRPr="00C24D02" w14:paraId="3F4099F6" w14:textId="77777777" w:rsidTr="003D1A59">
        <w:tc>
          <w:tcPr>
            <w:tcW w:w="2405" w:type="dxa"/>
          </w:tcPr>
          <w:p w14:paraId="01DEDE0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5DF947B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3F228BA1" w14:textId="77777777" w:rsidTr="003D1A59">
        <w:tc>
          <w:tcPr>
            <w:tcW w:w="2405" w:type="dxa"/>
          </w:tcPr>
          <w:p w14:paraId="2C5F4D7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37"/>
            </w:r>
            <w:r w:rsidRPr="00C24D02">
              <w:rPr>
                <w:rFonts w:asciiTheme="minorHAnsi" w:eastAsia="Calibri" w:hAnsiTheme="minorHAnsi" w:cstheme="minorHAnsi"/>
              </w:rPr>
              <w:t>)</w:t>
            </w:r>
          </w:p>
        </w:tc>
        <w:tc>
          <w:tcPr>
            <w:tcW w:w="6378" w:type="dxa"/>
          </w:tcPr>
          <w:p w14:paraId="5F2C3CB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5/5/-/5</w:t>
            </w:r>
          </w:p>
        </w:tc>
      </w:tr>
      <w:tr w:rsidR="00317816" w:rsidRPr="00C24D02" w14:paraId="7D5CDF7A" w14:textId="77777777" w:rsidTr="003D1A59">
        <w:tc>
          <w:tcPr>
            <w:tcW w:w="2405" w:type="dxa"/>
          </w:tcPr>
          <w:p w14:paraId="2B53741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B99263E" w14:textId="322FD96C" w:rsidR="00317816" w:rsidRPr="00C24D02" w:rsidRDefault="001E4C4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r>
              <w:rPr>
                <w:rFonts w:asciiTheme="minorHAnsi" w:eastAsia="Calibri" w:hAnsiTheme="minorHAnsi" w:cstheme="minorHAnsi"/>
                <w:b/>
              </w:rPr>
              <w:t>.</w:t>
            </w:r>
          </w:p>
        </w:tc>
      </w:tr>
    </w:tbl>
    <w:p w14:paraId="6EF64C0B" w14:textId="77777777" w:rsidR="00317816" w:rsidRPr="00C24D02" w:rsidRDefault="00317816" w:rsidP="00317816">
      <w:pPr>
        <w:spacing w:after="144" w:line="360" w:lineRule="auto"/>
        <w:rPr>
          <w:rFonts w:asciiTheme="minorHAnsi" w:hAnsiTheme="minorHAnsi" w:cstheme="minorHAnsi"/>
        </w:rPr>
      </w:pPr>
    </w:p>
    <w:p w14:paraId="79D04498"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Nesprávně stanovené kritérium PP/SR</w:t>
      </w:r>
    </w:p>
    <w:p w14:paraId="45E46C2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67154A5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Administra</w:t>
      </w:r>
      <w:r w:rsidRPr="00C24D02">
        <w:rPr>
          <w:rFonts w:asciiTheme="minorHAnsi" w:eastAsia="Arial" w:hAnsiTheme="minorHAnsi" w:cstheme="minorHAnsi"/>
        </w:rPr>
        <w:t>ti</w:t>
      </w:r>
      <w:r w:rsidRPr="00C24D02">
        <w:rPr>
          <w:rFonts w:asciiTheme="minorHAnsi" w:hAnsiTheme="minorHAnsi" w:cstheme="minorHAnsi"/>
        </w:rPr>
        <w:t>vní chybou došlo bohužel k chybnému přiřazení hodno</w:t>
      </w:r>
      <w:r w:rsidRPr="00C24D02">
        <w:rPr>
          <w:rFonts w:asciiTheme="minorHAnsi" w:eastAsia="Arial" w:hAnsiTheme="minorHAnsi" w:cstheme="minorHAnsi"/>
        </w:rPr>
        <w:t>tícího</w:t>
      </w:r>
      <w:r w:rsidRPr="00C24D02">
        <w:rPr>
          <w:rFonts w:asciiTheme="minorHAnsi" w:hAnsiTheme="minorHAnsi" w:cstheme="minorHAnsi"/>
        </w:rPr>
        <w:t xml:space="preserve"> kritéria u všech námi vykazovaných bibliometrických výsledků v roce 2024, konkrétně osmi odborných článků v mezinárodních impaktovaných časopisech za období let 2019</w:t>
      </w:r>
    </w:p>
    <w:p w14:paraId="36D2AED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až 2023 (viz příloha č. 1). U všech těchto výsledků se jedná o výstupy základního výzkumu a hodnocením kritériem je tedy „Přínos k poznání“ a nikoliv chybně zadaná „Společenská relevance“. Tato zásadní chyba nastala při vkládání výsledků v systému SKV, kdy je u každého nového výsledku automa</w:t>
      </w:r>
      <w:r w:rsidRPr="00C24D02">
        <w:rPr>
          <w:rFonts w:asciiTheme="minorHAnsi" w:eastAsia="Arial" w:hAnsiTheme="minorHAnsi" w:cstheme="minorHAnsi"/>
        </w:rPr>
        <w:t>ti</w:t>
      </w:r>
      <w:r w:rsidRPr="00C24D02">
        <w:rPr>
          <w:rFonts w:asciiTheme="minorHAnsi" w:hAnsiTheme="minorHAnsi" w:cstheme="minorHAnsi"/>
        </w:rPr>
        <w:t>cky přednastavena volba „Společenská relevance“ (viz příloha č. 2). Administra</w:t>
      </w:r>
      <w:r w:rsidRPr="00C24D02">
        <w:rPr>
          <w:rFonts w:asciiTheme="minorHAnsi" w:eastAsia="Arial" w:hAnsiTheme="minorHAnsi" w:cstheme="minorHAnsi"/>
        </w:rPr>
        <w:t>ti</w:t>
      </w:r>
      <w:r w:rsidRPr="00C24D02">
        <w:rPr>
          <w:rFonts w:asciiTheme="minorHAnsi" w:hAnsiTheme="minorHAnsi" w:cstheme="minorHAnsi"/>
        </w:rPr>
        <w:t>vní pracovnice bohužel opomněla u impaktovaných publikací přepnout volbu kritéria. Po exportu vybraných výsledků do xls tabulky jsme při následné kontrole bohužel tuto chybu přehlédli. Výsledky tak ve většině případů obdržely od panelistů nejhorší známku 5, neboť jejich přínos z pohledu „Společenské relevance“ a přímý ekonomický dopad na ČR je v blízké budoucnos</w:t>
      </w:r>
      <w:r w:rsidRPr="00C24D02">
        <w:rPr>
          <w:rFonts w:asciiTheme="minorHAnsi" w:eastAsia="Arial" w:hAnsiTheme="minorHAnsi" w:cstheme="minorHAnsi"/>
        </w:rPr>
        <w:t>ti</w:t>
      </w:r>
      <w:r w:rsidRPr="00C24D02">
        <w:rPr>
          <w:rFonts w:asciiTheme="minorHAnsi" w:hAnsiTheme="minorHAnsi" w:cstheme="minorHAnsi"/>
        </w:rPr>
        <w:t xml:space="preserve"> nízký. Chtěli bychom požádat, zda by bylo možné osm bibliometrických výsledků (impaktovaných publikací) přihlášených v roce 2024 zhodno</w:t>
      </w:r>
      <w:r w:rsidRPr="00C24D02">
        <w:rPr>
          <w:rFonts w:asciiTheme="minorHAnsi" w:eastAsia="Arial" w:hAnsiTheme="minorHAnsi" w:cstheme="minorHAnsi"/>
        </w:rPr>
        <w:t>ti</w:t>
      </w:r>
      <w:r w:rsidRPr="00C24D02">
        <w:rPr>
          <w:rFonts w:asciiTheme="minorHAnsi" w:hAnsiTheme="minorHAnsi" w:cstheme="minorHAnsi"/>
        </w:rPr>
        <w:t xml:space="preserve">t ještě jednou, </w:t>
      </w:r>
      <w:r w:rsidRPr="00C24D02">
        <w:rPr>
          <w:rFonts w:asciiTheme="minorHAnsi" w:hAnsiTheme="minorHAnsi" w:cstheme="minorHAnsi"/>
        </w:rPr>
        <w:lastRenderedPageBreak/>
        <w:t>samozřejmě v nezměněné podobě zdůvodnění a dalších podkladů, tentokráte však s ohledem na kritérium „Přínos k poznání“.</w:t>
      </w:r>
    </w:p>
    <w:p w14:paraId="4B8A853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Hodnoticí komise provedla posouzení předloženého výsledku v souladu s platnými pokyny. Výsledek prošel kontrolou formální správnosti a byl předán hodnotitelům, kteří svůj úkol splnili. V souladu s pravidly hodnocení byl výsledek posouzen podle kritéria společenská relevance výsledku, které si zvolila sama předkládající instituce. Výběr kritéria splnil všechny formální náležitosti a hodnotitelé byli povinni výsledek hodnotit právě podle tohoto přiřazeného kritéria. Přezkumné řízení neshledalo v uvedeném postupu žádné nedostatky ani porušení pravidel hodnocení. Předložená hodnocení jsou věcná a objektivní, a to s ohledem na zvolené hodnoticí kritérium. Výsledek byl tedy řádně ohodnocen a jeho další přehodnocení není možné.</w:t>
      </w:r>
    </w:p>
    <w:p w14:paraId="1C2636CD"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01110E73"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445B951C" w14:textId="5794A10B"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názorem panelu, který je v souladu se závaznými dokumenty Metodiky 2017+. Ty stanoví, že volba kritéria hodnocení v Modulu M1 je výhradní volbou nominující výzkumné organizace. Uvědomuje si ale také, že by opakovaná administrativní chyba neměla zásadně ovlivnit hodnocení vědeckovýzkumné činnosti organizace. Navrhuje proto výjimečně vrátit výsledek do hodnocení a hodnotit ve stejném panelu podle kritéria Přínos k poznání.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3E74AEA" w14:textId="77777777" w:rsidTr="003D1A59">
        <w:tc>
          <w:tcPr>
            <w:tcW w:w="2405" w:type="dxa"/>
          </w:tcPr>
          <w:p w14:paraId="08741D0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989BB6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TERMOMECHANIKY AV ČR</w:t>
            </w:r>
          </w:p>
        </w:tc>
      </w:tr>
      <w:tr w:rsidR="00317816" w:rsidRPr="00C24D02" w14:paraId="1944E761" w14:textId="77777777" w:rsidTr="003D1A59">
        <w:tc>
          <w:tcPr>
            <w:tcW w:w="2405" w:type="dxa"/>
          </w:tcPr>
          <w:p w14:paraId="3B31CD7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0A3717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192252189</w:t>
            </w:r>
          </w:p>
        </w:tc>
      </w:tr>
      <w:tr w:rsidR="00317816" w:rsidRPr="00C24D02" w14:paraId="564F494C" w14:textId="77777777" w:rsidTr="003D1A59">
        <w:trPr>
          <w:trHeight w:val="741"/>
        </w:trPr>
        <w:tc>
          <w:tcPr>
            <w:tcW w:w="2405" w:type="dxa"/>
          </w:tcPr>
          <w:p w14:paraId="036D457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20EA15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Branching of twins in shape memory alloys revisited</w:t>
            </w:r>
          </w:p>
        </w:tc>
      </w:tr>
      <w:tr w:rsidR="00317816" w:rsidRPr="00C24D02" w14:paraId="67FE725B" w14:textId="77777777" w:rsidTr="003D1A59">
        <w:tc>
          <w:tcPr>
            <w:tcW w:w="2405" w:type="dxa"/>
          </w:tcPr>
          <w:p w14:paraId="3ABBD8E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537C70C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1.3</w:t>
            </w:r>
          </w:p>
        </w:tc>
      </w:tr>
      <w:tr w:rsidR="00317816" w:rsidRPr="00C24D02" w14:paraId="34191FA2" w14:textId="77777777" w:rsidTr="003D1A59">
        <w:tc>
          <w:tcPr>
            <w:tcW w:w="2405" w:type="dxa"/>
          </w:tcPr>
          <w:p w14:paraId="2775E98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18C72B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3762C5A9" w14:textId="77777777" w:rsidTr="003D1A59">
        <w:tc>
          <w:tcPr>
            <w:tcW w:w="2405" w:type="dxa"/>
          </w:tcPr>
          <w:p w14:paraId="42DF653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38"/>
            </w:r>
            <w:r w:rsidRPr="00C24D02">
              <w:rPr>
                <w:rFonts w:asciiTheme="minorHAnsi" w:eastAsia="Calibri" w:hAnsiTheme="minorHAnsi" w:cstheme="minorHAnsi"/>
              </w:rPr>
              <w:t>)</w:t>
            </w:r>
          </w:p>
        </w:tc>
        <w:tc>
          <w:tcPr>
            <w:tcW w:w="6378" w:type="dxa"/>
          </w:tcPr>
          <w:p w14:paraId="0F39CC6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4/5/-/5</w:t>
            </w:r>
          </w:p>
        </w:tc>
      </w:tr>
      <w:tr w:rsidR="00317816" w:rsidRPr="00C24D02" w14:paraId="2EAC7600" w14:textId="77777777" w:rsidTr="003D1A59">
        <w:tc>
          <w:tcPr>
            <w:tcW w:w="2405" w:type="dxa"/>
          </w:tcPr>
          <w:p w14:paraId="6345BA1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501BC96" w14:textId="69DD75FC" w:rsidR="00317816" w:rsidRPr="00C24D02" w:rsidRDefault="001E4C4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r>
              <w:rPr>
                <w:rFonts w:asciiTheme="minorHAnsi" w:eastAsia="Calibri" w:hAnsiTheme="minorHAnsi" w:cstheme="minorHAnsi"/>
                <w:b/>
              </w:rPr>
              <w:t>.</w:t>
            </w:r>
          </w:p>
        </w:tc>
      </w:tr>
    </w:tbl>
    <w:p w14:paraId="2937979F" w14:textId="77777777" w:rsidR="00317816" w:rsidRPr="00C24D02" w:rsidRDefault="00317816" w:rsidP="00317816">
      <w:pPr>
        <w:spacing w:after="144" w:line="360" w:lineRule="auto"/>
        <w:rPr>
          <w:rFonts w:asciiTheme="minorHAnsi" w:hAnsiTheme="minorHAnsi" w:cstheme="minorHAnsi"/>
        </w:rPr>
      </w:pPr>
    </w:p>
    <w:p w14:paraId="54C07C63"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Nesprávně stanovené kritérium PP/SR</w:t>
      </w:r>
    </w:p>
    <w:p w14:paraId="7770C2B2"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BEA139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Administra</w:t>
      </w:r>
      <w:r w:rsidRPr="00C24D02">
        <w:rPr>
          <w:rFonts w:asciiTheme="minorHAnsi" w:eastAsia="Arial" w:hAnsiTheme="minorHAnsi" w:cstheme="minorHAnsi"/>
        </w:rPr>
        <w:t>ti</w:t>
      </w:r>
      <w:r w:rsidRPr="00C24D02">
        <w:rPr>
          <w:rFonts w:asciiTheme="minorHAnsi" w:hAnsiTheme="minorHAnsi" w:cstheme="minorHAnsi"/>
        </w:rPr>
        <w:t>vní chybou došlo bohužel k chybnému přiřazení hodno</w:t>
      </w:r>
      <w:r w:rsidRPr="00C24D02">
        <w:rPr>
          <w:rFonts w:asciiTheme="minorHAnsi" w:eastAsia="Arial" w:hAnsiTheme="minorHAnsi" w:cstheme="minorHAnsi"/>
        </w:rPr>
        <w:t>tícího</w:t>
      </w:r>
      <w:r w:rsidRPr="00C24D02">
        <w:rPr>
          <w:rFonts w:asciiTheme="minorHAnsi" w:hAnsiTheme="minorHAnsi" w:cstheme="minorHAnsi"/>
        </w:rPr>
        <w:t xml:space="preserve"> kritéria u všech námi vykazovaných bibliometrických výsledků v roce 2024, konkrétně osmi odborných článků v mezinárodních impaktovaných časopisech za období let 2019</w:t>
      </w:r>
    </w:p>
    <w:p w14:paraId="1DFF25B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až 2023 (viz příloha č. 1). U všech těchto výsledků se jedná o výstupy základního výzkumu a hodnocením kritériem je tedy „Přínos k poznání“ a nikoliv chybně zadaná „Společenská relevance“. Tato zásadní chyba nastala při vkládání výsledků v systému SKV, kdy je u každého nového výsledku automa</w:t>
      </w:r>
      <w:r w:rsidRPr="00C24D02">
        <w:rPr>
          <w:rFonts w:asciiTheme="minorHAnsi" w:eastAsia="Arial" w:hAnsiTheme="minorHAnsi" w:cstheme="minorHAnsi"/>
        </w:rPr>
        <w:t>ti</w:t>
      </w:r>
      <w:r w:rsidRPr="00C24D02">
        <w:rPr>
          <w:rFonts w:asciiTheme="minorHAnsi" w:hAnsiTheme="minorHAnsi" w:cstheme="minorHAnsi"/>
        </w:rPr>
        <w:t>cky přednastavena volba „Společenská relevance“ (viz příloha č. 2). Administra</w:t>
      </w:r>
      <w:r w:rsidRPr="00C24D02">
        <w:rPr>
          <w:rFonts w:asciiTheme="minorHAnsi" w:eastAsia="Arial" w:hAnsiTheme="minorHAnsi" w:cstheme="minorHAnsi"/>
        </w:rPr>
        <w:t>ti</w:t>
      </w:r>
      <w:r w:rsidRPr="00C24D02">
        <w:rPr>
          <w:rFonts w:asciiTheme="minorHAnsi" w:hAnsiTheme="minorHAnsi" w:cstheme="minorHAnsi"/>
        </w:rPr>
        <w:t>vní pracovnice bohužel opomněla u impaktovaných publikací přepnout volbu kritéria. Po exportu vybraných výsledků do xls tabulky jsme při následné kontrole bohužel tuto chybu přehlédli. Výsledky tak ve většině případů obdržely od panelistů nejhorší známku 5, neboť jejich přínos z pohledu „Společenské relevance“ a přímý ekonomický dopad na ČR je v blízké budoucnos</w:t>
      </w:r>
      <w:r w:rsidRPr="00C24D02">
        <w:rPr>
          <w:rFonts w:asciiTheme="minorHAnsi" w:eastAsia="Arial" w:hAnsiTheme="minorHAnsi" w:cstheme="minorHAnsi"/>
        </w:rPr>
        <w:t>ti</w:t>
      </w:r>
      <w:r w:rsidRPr="00C24D02">
        <w:rPr>
          <w:rFonts w:asciiTheme="minorHAnsi" w:hAnsiTheme="minorHAnsi" w:cstheme="minorHAnsi"/>
        </w:rPr>
        <w:t xml:space="preserve"> nízký. Chtěli bychom požádat, zda by bylo možné osm bibliometrických výsledků (impaktovaných publikací) přihlášených v roce 2024 zhodno</w:t>
      </w:r>
      <w:r w:rsidRPr="00C24D02">
        <w:rPr>
          <w:rFonts w:asciiTheme="minorHAnsi" w:eastAsia="Arial" w:hAnsiTheme="minorHAnsi" w:cstheme="minorHAnsi"/>
        </w:rPr>
        <w:t>ti</w:t>
      </w:r>
      <w:r w:rsidRPr="00C24D02">
        <w:rPr>
          <w:rFonts w:asciiTheme="minorHAnsi" w:hAnsiTheme="minorHAnsi" w:cstheme="minorHAnsi"/>
        </w:rPr>
        <w:t>t ještě jednou, samozřejmě v nezměněné podobě zdůvodnění a dalších podkladů, tentokráte však s ohledem na kritérium „Přínos k poznání“.</w:t>
      </w:r>
    </w:p>
    <w:p w14:paraId="6056690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Hodnoticí komise provedla posouzení předloženého výsledku v souladu s platnými pokyny. Výsledek prošel kontrolou formální správnosti a byl předán hodnotitelům, kteří svůj úkol splnili. V souladu s pravidly hodnocení byl výsledek posouzen podle kritéria společenská relevance výsledku, které si zvolila sama předkládající instituce. Výběr kritéria splnil všechny formální náležitosti a hodnotitelé byli povinni výsledek hodnotit právě podle tohoto přiřazeného kritéria. Přezkumné řízení neshledalo v uvedeném postupu žádné </w:t>
      </w:r>
      <w:r w:rsidRPr="00C24D02">
        <w:rPr>
          <w:rFonts w:asciiTheme="minorHAnsi" w:hAnsiTheme="minorHAnsi" w:cstheme="minorHAnsi"/>
        </w:rPr>
        <w:lastRenderedPageBreak/>
        <w:t>nedostatky ani porušení pravidel hodnocení. Předložená hodnocení jsou věcná a objektivní, a to s ohledem na zvolené hodnoticí kritérium. Výsledek byl tedy řádně ohodnocen a jeho další přehodnocení není možné.</w:t>
      </w:r>
    </w:p>
    <w:p w14:paraId="6E07BD9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3A01C68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71297C4F"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názorem panelu, který je v souladu se závaznými dokumenty Metodiky 2017+. Ty stanoví, že volba kritéria hodnocení v Modulu M1 je výhradní volbou nominující výzkumné organizace. Uvědomuje si ale také, že by opakovaná administrativní chyba neměla zásadně ovlivnit hodnocení vědeckovýzkumné činnosti organizace. Navrhuje proto výjimečně vrátit výsledek do hodnocení a hodnotit ve stejném panelu podle kritéria Přínos k poznání.</w:t>
      </w:r>
    </w:p>
    <w:p w14:paraId="5F92D20B" w14:textId="77777777" w:rsidR="00317816" w:rsidRPr="00C24D02" w:rsidRDefault="00317816" w:rsidP="00317816">
      <w:pPr>
        <w:spacing w:before="240" w:after="144" w:line="360" w:lineRule="auto"/>
        <w:jc w:val="both"/>
        <w:rPr>
          <w:rFonts w:asciiTheme="minorHAnsi" w:hAnsiTheme="minorHAnsi" w:cstheme="minorHAnsi"/>
        </w:rPr>
      </w:pP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42F7845" w14:textId="77777777" w:rsidTr="003D1A59">
        <w:tc>
          <w:tcPr>
            <w:tcW w:w="2405" w:type="dxa"/>
          </w:tcPr>
          <w:p w14:paraId="1E90C6D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3328ED9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TERMOMECHANIKY AV ČR</w:t>
            </w:r>
          </w:p>
        </w:tc>
      </w:tr>
      <w:tr w:rsidR="00317816" w:rsidRPr="00C24D02" w14:paraId="331983F1" w14:textId="77777777" w:rsidTr="003D1A59">
        <w:tc>
          <w:tcPr>
            <w:tcW w:w="2405" w:type="dxa"/>
          </w:tcPr>
          <w:p w14:paraId="6C25D4A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25C89A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192252190</w:t>
            </w:r>
          </w:p>
        </w:tc>
      </w:tr>
      <w:tr w:rsidR="00317816" w:rsidRPr="00C24D02" w14:paraId="1F072499" w14:textId="77777777" w:rsidTr="003D1A59">
        <w:trPr>
          <w:trHeight w:val="741"/>
        </w:trPr>
        <w:tc>
          <w:tcPr>
            <w:tcW w:w="2405" w:type="dxa"/>
          </w:tcPr>
          <w:p w14:paraId="74E777D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EED41E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Switching the soft shearing mode orientation in Ni-Mn-Ga non-modulated martensite by Co and Cu doping</w:t>
            </w:r>
          </w:p>
        </w:tc>
      </w:tr>
      <w:tr w:rsidR="00317816" w:rsidRPr="00C24D02" w14:paraId="11303D12" w14:textId="77777777" w:rsidTr="003D1A59">
        <w:tc>
          <w:tcPr>
            <w:tcW w:w="2405" w:type="dxa"/>
          </w:tcPr>
          <w:p w14:paraId="7013D30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43939E6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1.3</w:t>
            </w:r>
          </w:p>
        </w:tc>
      </w:tr>
      <w:tr w:rsidR="00317816" w:rsidRPr="00C24D02" w14:paraId="1E24C2E1" w14:textId="77777777" w:rsidTr="003D1A59">
        <w:tc>
          <w:tcPr>
            <w:tcW w:w="2405" w:type="dxa"/>
          </w:tcPr>
          <w:p w14:paraId="02A38DB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5781805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142CD6BD" w14:textId="77777777" w:rsidTr="003D1A59">
        <w:tc>
          <w:tcPr>
            <w:tcW w:w="2405" w:type="dxa"/>
          </w:tcPr>
          <w:p w14:paraId="0354EA3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39"/>
            </w:r>
            <w:r w:rsidRPr="00C24D02">
              <w:rPr>
                <w:rFonts w:asciiTheme="minorHAnsi" w:eastAsia="Calibri" w:hAnsiTheme="minorHAnsi" w:cstheme="minorHAnsi"/>
              </w:rPr>
              <w:t>)</w:t>
            </w:r>
          </w:p>
        </w:tc>
        <w:tc>
          <w:tcPr>
            <w:tcW w:w="6378" w:type="dxa"/>
          </w:tcPr>
          <w:p w14:paraId="6BAAD7F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4/5/-/5</w:t>
            </w:r>
          </w:p>
        </w:tc>
      </w:tr>
      <w:tr w:rsidR="00317816" w:rsidRPr="00C24D02" w14:paraId="2D2575FB" w14:textId="77777777" w:rsidTr="003D1A59">
        <w:tc>
          <w:tcPr>
            <w:tcW w:w="2405" w:type="dxa"/>
          </w:tcPr>
          <w:p w14:paraId="1736C25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2ACA477E" w14:textId="1A3F7296" w:rsidR="00317816" w:rsidRPr="00C24D02" w:rsidRDefault="001E4C4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r>
              <w:rPr>
                <w:rFonts w:asciiTheme="minorHAnsi" w:eastAsia="Calibri" w:hAnsiTheme="minorHAnsi" w:cstheme="minorHAnsi"/>
                <w:b/>
              </w:rPr>
              <w:t>.</w:t>
            </w:r>
          </w:p>
        </w:tc>
      </w:tr>
    </w:tbl>
    <w:p w14:paraId="112BE36C" w14:textId="77777777" w:rsidR="00317816" w:rsidRPr="00C24D02" w:rsidRDefault="00317816" w:rsidP="00317816">
      <w:pPr>
        <w:spacing w:after="144" w:line="360" w:lineRule="auto"/>
        <w:rPr>
          <w:rFonts w:asciiTheme="minorHAnsi" w:hAnsiTheme="minorHAnsi" w:cstheme="minorHAnsi"/>
        </w:rPr>
      </w:pPr>
    </w:p>
    <w:p w14:paraId="5BC0536A"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Nesprávně stanovené kritérium PP/SR</w:t>
      </w:r>
    </w:p>
    <w:p w14:paraId="7C4CF7A6"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lastRenderedPageBreak/>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FC59BF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Administra</w:t>
      </w:r>
      <w:r w:rsidRPr="00C24D02">
        <w:rPr>
          <w:rFonts w:asciiTheme="minorHAnsi" w:eastAsia="Arial" w:hAnsiTheme="minorHAnsi" w:cstheme="minorHAnsi"/>
        </w:rPr>
        <w:t>ti</w:t>
      </w:r>
      <w:r w:rsidRPr="00C24D02">
        <w:rPr>
          <w:rFonts w:asciiTheme="minorHAnsi" w:hAnsiTheme="minorHAnsi" w:cstheme="minorHAnsi"/>
        </w:rPr>
        <w:t>vní chybou došlo bohužel k chybnému přiřazení hodno</w:t>
      </w:r>
      <w:r w:rsidRPr="00C24D02">
        <w:rPr>
          <w:rFonts w:asciiTheme="minorHAnsi" w:eastAsia="Arial" w:hAnsiTheme="minorHAnsi" w:cstheme="minorHAnsi"/>
        </w:rPr>
        <w:t>tícího</w:t>
      </w:r>
      <w:r w:rsidRPr="00C24D02">
        <w:rPr>
          <w:rFonts w:asciiTheme="minorHAnsi" w:hAnsiTheme="minorHAnsi" w:cstheme="minorHAnsi"/>
        </w:rPr>
        <w:t xml:space="preserve"> kritéria u všech námi vykazovaných bibliometrických výsledků v roce 2024, konkrétně osmi odborných článků v mezinárodních impaktovaných časopisech za období let 2019</w:t>
      </w:r>
    </w:p>
    <w:p w14:paraId="4AFCDB32" w14:textId="77777777" w:rsidR="00317816" w:rsidRPr="00C24D02" w:rsidRDefault="00317816" w:rsidP="00317816">
      <w:pPr>
        <w:spacing w:after="144" w:line="360" w:lineRule="auto"/>
        <w:ind w:firstLine="357"/>
        <w:jc w:val="both"/>
        <w:rPr>
          <w:rFonts w:asciiTheme="minorHAnsi" w:hAnsiTheme="minorHAnsi" w:cstheme="minorHAnsi"/>
        </w:rPr>
      </w:pPr>
      <w:bookmarkStart w:id="50" w:name="_Hlk218605208"/>
      <w:r w:rsidRPr="00C24D02">
        <w:rPr>
          <w:rFonts w:asciiTheme="minorHAnsi" w:hAnsiTheme="minorHAnsi" w:cstheme="minorHAnsi"/>
        </w:rPr>
        <w:t>až 2023 (viz příloha č. 1)</w:t>
      </w:r>
      <w:bookmarkEnd w:id="50"/>
      <w:r w:rsidRPr="00C24D02">
        <w:rPr>
          <w:rFonts w:asciiTheme="minorHAnsi" w:hAnsiTheme="minorHAnsi" w:cstheme="minorHAnsi"/>
        </w:rPr>
        <w:t>. U všech těchto výsledků se jedná o výstupy základního výzkumu a hodnocením kritériem je tedy „Přínos k poznání“ a nikoliv chybně zadaná „Společenská relevance“. Tato zásadní chyba nastala při vkládání výsledků v systému SKV, kdy je u každého nového výsledku automa</w:t>
      </w:r>
      <w:r w:rsidRPr="00C24D02">
        <w:rPr>
          <w:rFonts w:asciiTheme="minorHAnsi" w:eastAsia="Arial" w:hAnsiTheme="minorHAnsi" w:cstheme="minorHAnsi"/>
        </w:rPr>
        <w:t>ti</w:t>
      </w:r>
      <w:r w:rsidRPr="00C24D02">
        <w:rPr>
          <w:rFonts w:asciiTheme="minorHAnsi" w:hAnsiTheme="minorHAnsi" w:cstheme="minorHAnsi"/>
        </w:rPr>
        <w:t>cky přednastavena volba „Společenská relevance“ (viz příloha č. 2). Administra</w:t>
      </w:r>
      <w:r w:rsidRPr="00C24D02">
        <w:rPr>
          <w:rFonts w:asciiTheme="minorHAnsi" w:eastAsia="Arial" w:hAnsiTheme="minorHAnsi" w:cstheme="minorHAnsi"/>
        </w:rPr>
        <w:t>ti</w:t>
      </w:r>
      <w:r w:rsidRPr="00C24D02">
        <w:rPr>
          <w:rFonts w:asciiTheme="minorHAnsi" w:hAnsiTheme="minorHAnsi" w:cstheme="minorHAnsi"/>
        </w:rPr>
        <w:t>vní pracovnice bohužel opomněla u impaktovaných publikací přepnout volbu kritéria. Po exportu vybraných výsledků do xls tabulky jsme při následné kontrole bohužel tuto chybu přehlédli. Výsledky tak ve většině případů obdržely od panelistů nejhorší známku 5, neboť jejich přínos z pohledu „Společenské relevance“ a přímý ekonomický dopad na ČR je v blízké budoucnos</w:t>
      </w:r>
      <w:r w:rsidRPr="00C24D02">
        <w:rPr>
          <w:rFonts w:asciiTheme="minorHAnsi" w:eastAsia="Arial" w:hAnsiTheme="minorHAnsi" w:cstheme="minorHAnsi"/>
        </w:rPr>
        <w:t>ti</w:t>
      </w:r>
      <w:r w:rsidRPr="00C24D02">
        <w:rPr>
          <w:rFonts w:asciiTheme="minorHAnsi" w:hAnsiTheme="minorHAnsi" w:cstheme="minorHAnsi"/>
        </w:rPr>
        <w:t xml:space="preserve"> nízký. Chtěli bychom požádat, zda by bylo možné osm bibliometrických výsledků (impaktovaných publikací) přihlášených v roce 2024 zhodno</w:t>
      </w:r>
      <w:r w:rsidRPr="00C24D02">
        <w:rPr>
          <w:rFonts w:asciiTheme="minorHAnsi" w:eastAsia="Arial" w:hAnsiTheme="minorHAnsi" w:cstheme="minorHAnsi"/>
        </w:rPr>
        <w:t>ti</w:t>
      </w:r>
      <w:r w:rsidRPr="00C24D02">
        <w:rPr>
          <w:rFonts w:asciiTheme="minorHAnsi" w:hAnsiTheme="minorHAnsi" w:cstheme="minorHAnsi"/>
        </w:rPr>
        <w:t>t ještě jednou, samozřejmě v nezměněné podobě zdůvodnění a dalších podkladů, tentokráte však s ohledem na kritérium „Přínos k poznání“.</w:t>
      </w:r>
    </w:p>
    <w:p w14:paraId="6171FB2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Hodnoticí komise provedla posouzení předloženého výsledku v souladu s platnými pokyny. Výsledek prošel kontrolou formální správnosti a byl předán hodnotitelům, kteří svůj úkol splnili. V souladu s pravidly hodnocení byl výsledek posouzen podle kritéria společenská relevance výsledku, které si zvolila sama předkládající instituce. Výběr kritéria splnil všechny formální náležitosti a hodnotitelé byli povinni výsledek hodnotit právě podle tohoto přiřazeného kritéria. Přezkumné řízení neshledalo v uvedeném postupu žádné nedostatky ani porušení pravidel hodnocení. Předložená hodnocení jsou věcná a objektivní, a to s ohledem na zvolené hodnoticí kritérium. Výsledek byl tedy řádně ohodnocen a jeho další přehodnocení není možné.</w:t>
      </w:r>
    </w:p>
    <w:p w14:paraId="6CBD203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2E8AEE40"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71EB5B83" w14:textId="7BF304A0"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lastRenderedPageBreak/>
        <w:t>Závěr KHV</w:t>
      </w:r>
      <w:r w:rsidRPr="00C24D02">
        <w:rPr>
          <w:rFonts w:asciiTheme="minorHAnsi" w:hAnsiTheme="minorHAnsi" w:cstheme="minorHAnsi"/>
          <w:b/>
          <w:bCs/>
        </w:rPr>
        <w:t xml:space="preserve">: </w:t>
      </w:r>
      <w:r w:rsidRPr="00C24D02">
        <w:rPr>
          <w:rFonts w:asciiTheme="minorHAnsi" w:hAnsiTheme="minorHAnsi" w:cstheme="minorHAnsi"/>
        </w:rPr>
        <w:t>KHV souhlasí s názorem panelu, který je v souladu se závaznými dokumenty Metodiky 2017+. Ty stanoví, že volba kritéria hodnocení v Modulu M1 je výhradní volbou nominující výzkumné organizace. Uvědomuje si ale také, že by opakovaná administrativní chyba neměla zásadně ovlivnit hodnocení vědeckovýzkumné činnosti organizace. Navrhuje proto výjimečně vrátit výsledek do hodnocení a hodnotit ve stejném panelu podle kritéria Přínos k poznání.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4CEB27D" w14:textId="77777777" w:rsidTr="003D1A59">
        <w:tc>
          <w:tcPr>
            <w:tcW w:w="2405" w:type="dxa"/>
          </w:tcPr>
          <w:p w14:paraId="6D22AE8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68EF15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TERMOMECHANIKY AV ČR</w:t>
            </w:r>
          </w:p>
        </w:tc>
      </w:tr>
      <w:tr w:rsidR="00317816" w:rsidRPr="00C24D02" w14:paraId="233A0552" w14:textId="77777777" w:rsidTr="003D1A59">
        <w:tc>
          <w:tcPr>
            <w:tcW w:w="2405" w:type="dxa"/>
          </w:tcPr>
          <w:p w14:paraId="58A22B3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061CE7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192161031</w:t>
            </w:r>
          </w:p>
        </w:tc>
      </w:tr>
      <w:tr w:rsidR="00317816" w:rsidRPr="00C24D02" w14:paraId="4CDBBB3C" w14:textId="77777777" w:rsidTr="003D1A59">
        <w:trPr>
          <w:trHeight w:val="741"/>
        </w:trPr>
        <w:tc>
          <w:tcPr>
            <w:tcW w:w="2405" w:type="dxa"/>
          </w:tcPr>
          <w:p w14:paraId="03EAD1B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627C126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Impact Stress in Water Resistance Voice Therapy: A Physical Modeling Study</w:t>
            </w:r>
          </w:p>
        </w:tc>
      </w:tr>
      <w:tr w:rsidR="00317816" w:rsidRPr="00C24D02" w14:paraId="65CEDFA7" w14:textId="77777777" w:rsidTr="003D1A59">
        <w:tc>
          <w:tcPr>
            <w:tcW w:w="2405" w:type="dxa"/>
          </w:tcPr>
          <w:p w14:paraId="24AACC4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476AC33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1.3</w:t>
            </w:r>
          </w:p>
        </w:tc>
      </w:tr>
      <w:tr w:rsidR="00317816" w:rsidRPr="00C24D02" w14:paraId="551527E4" w14:textId="77777777" w:rsidTr="003D1A59">
        <w:tc>
          <w:tcPr>
            <w:tcW w:w="2405" w:type="dxa"/>
          </w:tcPr>
          <w:p w14:paraId="4C66F3F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4AB277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03ED8BC7" w14:textId="77777777" w:rsidTr="003D1A59">
        <w:tc>
          <w:tcPr>
            <w:tcW w:w="2405" w:type="dxa"/>
          </w:tcPr>
          <w:p w14:paraId="27A829C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40"/>
            </w:r>
            <w:r w:rsidRPr="00C24D02">
              <w:rPr>
                <w:rFonts w:asciiTheme="minorHAnsi" w:eastAsia="Calibri" w:hAnsiTheme="minorHAnsi" w:cstheme="minorHAnsi"/>
              </w:rPr>
              <w:t>)</w:t>
            </w:r>
          </w:p>
        </w:tc>
        <w:tc>
          <w:tcPr>
            <w:tcW w:w="6378" w:type="dxa"/>
          </w:tcPr>
          <w:p w14:paraId="79566F0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5/1/3/3</w:t>
            </w:r>
          </w:p>
        </w:tc>
      </w:tr>
      <w:tr w:rsidR="00317816" w:rsidRPr="00C24D02" w14:paraId="6D49D87C" w14:textId="77777777" w:rsidTr="003D1A59">
        <w:tc>
          <w:tcPr>
            <w:tcW w:w="2405" w:type="dxa"/>
          </w:tcPr>
          <w:p w14:paraId="4B18021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3144FE4" w14:textId="3C1CE057" w:rsidR="00317816" w:rsidRPr="00C24D02" w:rsidRDefault="001E4C4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r>
              <w:rPr>
                <w:rFonts w:asciiTheme="minorHAnsi" w:eastAsia="Calibri" w:hAnsiTheme="minorHAnsi" w:cstheme="minorHAnsi"/>
                <w:b/>
              </w:rPr>
              <w:t>.</w:t>
            </w:r>
          </w:p>
        </w:tc>
      </w:tr>
    </w:tbl>
    <w:p w14:paraId="4502F439" w14:textId="77777777" w:rsidR="00317816" w:rsidRPr="00C24D02" w:rsidRDefault="00317816" w:rsidP="00317816">
      <w:pPr>
        <w:spacing w:after="144" w:line="360" w:lineRule="auto"/>
        <w:rPr>
          <w:rFonts w:asciiTheme="minorHAnsi" w:hAnsiTheme="minorHAnsi" w:cstheme="minorHAnsi"/>
        </w:rPr>
      </w:pPr>
    </w:p>
    <w:p w14:paraId="1D600D32"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Nesprávně stanovené kritérium PP/SR</w:t>
      </w:r>
    </w:p>
    <w:p w14:paraId="08E6EC8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E0C440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Administra</w:t>
      </w:r>
      <w:r w:rsidRPr="00C24D02">
        <w:rPr>
          <w:rFonts w:asciiTheme="minorHAnsi" w:eastAsia="Arial" w:hAnsiTheme="minorHAnsi" w:cstheme="minorHAnsi"/>
        </w:rPr>
        <w:t>ti</w:t>
      </w:r>
      <w:r w:rsidRPr="00C24D02">
        <w:rPr>
          <w:rFonts w:asciiTheme="minorHAnsi" w:hAnsiTheme="minorHAnsi" w:cstheme="minorHAnsi"/>
        </w:rPr>
        <w:t>vní chybou došlo bohužel k chybnému přiřazení hodno</w:t>
      </w:r>
      <w:r w:rsidRPr="00C24D02">
        <w:rPr>
          <w:rFonts w:asciiTheme="minorHAnsi" w:eastAsia="Arial" w:hAnsiTheme="minorHAnsi" w:cstheme="minorHAnsi"/>
        </w:rPr>
        <w:t>tícího</w:t>
      </w:r>
      <w:r w:rsidRPr="00C24D02">
        <w:rPr>
          <w:rFonts w:asciiTheme="minorHAnsi" w:hAnsiTheme="minorHAnsi" w:cstheme="minorHAnsi"/>
        </w:rPr>
        <w:t xml:space="preserve"> kritéria u všech námi vykazovaných bibliometrických výsledků v roce 2024, konkrétně osmi odborných článků v mezinárodních impaktovaných časopisech za období let 2019</w:t>
      </w:r>
    </w:p>
    <w:p w14:paraId="579A32E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až 2023 (viz příloha č. 1). U všech těchto výsledků se jedná o výstupy základního výzkumu a hodnocením kritériem je tedy „Přínos k poznání“ a nikoliv chybně zadaná „Společenská relevance“. Tato zásadní chyba nastala při vkládání výsledků v systému SKV, kdy je u každého nového výsledku automa</w:t>
      </w:r>
      <w:r w:rsidRPr="00C24D02">
        <w:rPr>
          <w:rFonts w:asciiTheme="minorHAnsi" w:eastAsia="Arial" w:hAnsiTheme="minorHAnsi" w:cstheme="minorHAnsi"/>
        </w:rPr>
        <w:t>ti</w:t>
      </w:r>
      <w:r w:rsidRPr="00C24D02">
        <w:rPr>
          <w:rFonts w:asciiTheme="minorHAnsi" w:hAnsiTheme="minorHAnsi" w:cstheme="minorHAnsi"/>
        </w:rPr>
        <w:t xml:space="preserve">cky přednastavena volba „Společenská relevance“ (viz příloha č. 2). </w:t>
      </w:r>
      <w:r w:rsidRPr="00C24D02">
        <w:rPr>
          <w:rFonts w:asciiTheme="minorHAnsi" w:hAnsiTheme="minorHAnsi" w:cstheme="minorHAnsi"/>
        </w:rPr>
        <w:lastRenderedPageBreak/>
        <w:t>Administra</w:t>
      </w:r>
      <w:r w:rsidRPr="00C24D02">
        <w:rPr>
          <w:rFonts w:asciiTheme="minorHAnsi" w:eastAsia="Arial" w:hAnsiTheme="minorHAnsi" w:cstheme="minorHAnsi"/>
        </w:rPr>
        <w:t>ti</w:t>
      </w:r>
      <w:r w:rsidRPr="00C24D02">
        <w:rPr>
          <w:rFonts w:asciiTheme="minorHAnsi" w:hAnsiTheme="minorHAnsi" w:cstheme="minorHAnsi"/>
        </w:rPr>
        <w:t>vní pracovnice bohužel opomněla u impaktovaných publikací přepnout volbu kritéria. Po exportu vybraných výsledků do xls tabulky jsme při následné kontrole bohužel tuto chybu přehlédli. Výsledky tak ve většině případů obdržely od panelistů nejhorší známku 5, neboť jejich přínos z pohledu „Společenské relevance“ a přímý ekonomický dopad na ČR je v blízké budoucnos</w:t>
      </w:r>
      <w:r w:rsidRPr="00C24D02">
        <w:rPr>
          <w:rFonts w:asciiTheme="minorHAnsi" w:eastAsia="Arial" w:hAnsiTheme="minorHAnsi" w:cstheme="minorHAnsi"/>
        </w:rPr>
        <w:t>ti</w:t>
      </w:r>
      <w:r w:rsidRPr="00C24D02">
        <w:rPr>
          <w:rFonts w:asciiTheme="minorHAnsi" w:hAnsiTheme="minorHAnsi" w:cstheme="minorHAnsi"/>
        </w:rPr>
        <w:t xml:space="preserve"> nízký. Chtěli bychom požádat, zda by bylo možné osm bibliometrických výsledků (impaktovaných publikací) přihlášených v roce 2024 zhodno</w:t>
      </w:r>
      <w:r w:rsidRPr="00C24D02">
        <w:rPr>
          <w:rFonts w:asciiTheme="minorHAnsi" w:eastAsia="Arial" w:hAnsiTheme="minorHAnsi" w:cstheme="minorHAnsi"/>
        </w:rPr>
        <w:t>ti</w:t>
      </w:r>
      <w:r w:rsidRPr="00C24D02">
        <w:rPr>
          <w:rFonts w:asciiTheme="minorHAnsi" w:hAnsiTheme="minorHAnsi" w:cstheme="minorHAnsi"/>
        </w:rPr>
        <w:t>t ještě jednou, samozřejmě v nezměněné podobě zdůvodnění a dalších podkladů, tentokráte však s ohledem na kritérium „Přínos k poznání“.</w:t>
      </w:r>
    </w:p>
    <w:p w14:paraId="519FC5D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Hodnoticí komise provedla posouzení předloženého výsledku v souladu s platnými pokyny. Výsledek prošel kontrolou formální správnosti a byl předán hodnotitelům, kteří svůj úkol splnili. V souladu s pravidly hodnocení byl výsledek posouzen podle kritéria společenská relevance výsledku, které si zvolila sama předkládající instituce. Výběr kritéria splnil všechny formální náležitosti a hodnotitelé byli povinni výsledek hodnotit právě podle tohoto přiřazeného kritéria. Přezkumné řízení neshledalo v uvedeném postupu žádné nedostatky ani porušení pravidel hodnocení. Předložená hodnocení jsou věcná a objektivní, a to s ohledem na zvolené hodnoticí kritérium. Výsledek byl tedy řádně ohodnocen a jeho další přehodnocení není možné.</w:t>
      </w:r>
    </w:p>
    <w:p w14:paraId="7976E2CF"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3.</w:t>
      </w:r>
    </w:p>
    <w:p w14:paraId="60E8277E"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41D4CBCF" w14:textId="350561F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názorem panelu, který je v souladu se závaznými dokumenty Metodiky 2017+. Ty stanoví, že volba kritéria hodnocení v Modulu M1 je výhradní volbou nominující výzkumné organizace. Uvědomuje si ale také, že by opakovaná administrativní chyba neměla zásadně ovlivnit hodnocení vědeckovýzkumné činnosti organizace. Navrhuje proto výjimečně vrátit výsledek do hodnocení a hodnotit ve stejném panelu podle kritéria Přínos k poznání.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C17BCA1" w14:textId="77777777" w:rsidTr="003D1A59">
        <w:tc>
          <w:tcPr>
            <w:tcW w:w="2405" w:type="dxa"/>
          </w:tcPr>
          <w:p w14:paraId="1B9B906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39FF8ED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VŠB-TUO - CEET</w:t>
            </w:r>
          </w:p>
        </w:tc>
      </w:tr>
      <w:tr w:rsidR="00317816" w:rsidRPr="00C24D02" w14:paraId="30950B4B" w14:textId="77777777" w:rsidTr="003D1A59">
        <w:tc>
          <w:tcPr>
            <w:tcW w:w="2405" w:type="dxa"/>
          </w:tcPr>
          <w:p w14:paraId="55AC1CE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46DD3DB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192334837</w:t>
            </w:r>
          </w:p>
        </w:tc>
      </w:tr>
      <w:tr w:rsidR="00317816" w:rsidRPr="00C24D02" w14:paraId="6DB03982" w14:textId="77777777" w:rsidTr="003D1A59">
        <w:trPr>
          <w:trHeight w:val="741"/>
        </w:trPr>
        <w:tc>
          <w:tcPr>
            <w:tcW w:w="2405" w:type="dxa"/>
          </w:tcPr>
          <w:p w14:paraId="60DEFB1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Název</w:t>
            </w:r>
          </w:p>
        </w:tc>
        <w:tc>
          <w:tcPr>
            <w:tcW w:w="6378" w:type="dxa"/>
          </w:tcPr>
          <w:p w14:paraId="65544A3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Covalently Interlinked Graphene Sheets with Sulfur-Chains Enable Superior Lithium-Sulfur Battery Cathodes at Full-Mass Level</w:t>
            </w:r>
            <w:bookmarkStart w:id="51" w:name="_Hlk218605333"/>
            <w:bookmarkEnd w:id="51"/>
          </w:p>
        </w:tc>
      </w:tr>
      <w:tr w:rsidR="00317816" w:rsidRPr="00C24D02" w14:paraId="2941790E" w14:textId="77777777" w:rsidTr="003D1A59">
        <w:tc>
          <w:tcPr>
            <w:tcW w:w="2405" w:type="dxa"/>
          </w:tcPr>
          <w:p w14:paraId="1C9B110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3E953D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2.10.</w:t>
            </w:r>
          </w:p>
        </w:tc>
      </w:tr>
      <w:tr w:rsidR="00317816" w:rsidRPr="00C24D02" w14:paraId="29FD110B" w14:textId="77777777" w:rsidTr="003D1A59">
        <w:tc>
          <w:tcPr>
            <w:tcW w:w="2405" w:type="dxa"/>
          </w:tcPr>
          <w:p w14:paraId="4FCDD8C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7029AE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24B2EC64" w14:textId="77777777" w:rsidTr="003D1A59">
        <w:tc>
          <w:tcPr>
            <w:tcW w:w="2405" w:type="dxa"/>
          </w:tcPr>
          <w:p w14:paraId="6C83A24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41"/>
            </w:r>
            <w:r w:rsidRPr="00C24D02">
              <w:rPr>
                <w:rFonts w:asciiTheme="minorHAnsi" w:eastAsia="Calibri" w:hAnsiTheme="minorHAnsi" w:cstheme="minorHAnsi"/>
              </w:rPr>
              <w:t>)</w:t>
            </w:r>
          </w:p>
        </w:tc>
        <w:tc>
          <w:tcPr>
            <w:tcW w:w="6378" w:type="dxa"/>
          </w:tcPr>
          <w:p w14:paraId="10F511A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5/4/-/4</w:t>
            </w:r>
          </w:p>
        </w:tc>
      </w:tr>
      <w:tr w:rsidR="00317816" w:rsidRPr="00C24D02" w14:paraId="789D9597" w14:textId="77777777" w:rsidTr="003D1A59">
        <w:tc>
          <w:tcPr>
            <w:tcW w:w="2405" w:type="dxa"/>
          </w:tcPr>
          <w:p w14:paraId="7F237F0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FCE4E46" w14:textId="7ABFA0E2" w:rsidR="00317816" w:rsidRPr="00C24D02" w:rsidRDefault="001E4C4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r>
              <w:rPr>
                <w:rFonts w:asciiTheme="minorHAnsi" w:eastAsia="Calibri" w:hAnsiTheme="minorHAnsi" w:cstheme="minorHAnsi"/>
                <w:b/>
              </w:rPr>
              <w:t>.</w:t>
            </w:r>
          </w:p>
        </w:tc>
      </w:tr>
    </w:tbl>
    <w:p w14:paraId="5080AA9B" w14:textId="77777777" w:rsidR="00317816" w:rsidRPr="00C24D02" w:rsidRDefault="00317816" w:rsidP="00317816">
      <w:pPr>
        <w:spacing w:after="144" w:line="360" w:lineRule="auto"/>
        <w:rPr>
          <w:rFonts w:asciiTheme="minorHAnsi" w:hAnsiTheme="minorHAnsi" w:cstheme="minorHAnsi"/>
        </w:rPr>
      </w:pPr>
    </w:p>
    <w:p w14:paraId="731DD3BF"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Záměna PP za SR</w:t>
      </w:r>
    </w:p>
    <w:p w14:paraId="5A51459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7AE8825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 základě obdrženého hodnocení si dovolujeme požádat o opětovné zhodnocení našeho kvalitního výsledku a </w:t>
      </w:r>
      <w:r w:rsidRPr="00C24D02">
        <w:rPr>
          <w:rFonts w:asciiTheme="minorHAnsi" w:hAnsiTheme="minorHAnsi" w:cstheme="minorHAnsi"/>
          <w:b/>
          <w:bCs/>
        </w:rPr>
        <w:t>přehodnocení zařazení výsledku</w:t>
      </w:r>
      <w:r w:rsidRPr="00C24D02">
        <w:rPr>
          <w:rFonts w:asciiTheme="minorHAnsi" w:hAnsiTheme="minorHAnsi" w:cstheme="minorHAnsi"/>
        </w:rPr>
        <w:t xml:space="preserve">, nešťastným administrativním úkonem došlo k jeho </w:t>
      </w:r>
      <w:r w:rsidRPr="00C24D02">
        <w:rPr>
          <w:rFonts w:asciiTheme="minorHAnsi" w:hAnsiTheme="minorHAnsi" w:cstheme="minorHAnsi"/>
          <w:b/>
          <w:bCs/>
        </w:rPr>
        <w:t xml:space="preserve">nesprávné kategorizaci </w:t>
      </w:r>
      <w:r w:rsidRPr="00C24D02">
        <w:rPr>
          <w:rFonts w:asciiTheme="minorHAnsi" w:hAnsiTheme="minorHAnsi" w:cstheme="minorHAnsi"/>
        </w:rPr>
        <w:t xml:space="preserve">do hodnocení podle </w:t>
      </w:r>
      <w:r w:rsidRPr="00C24D02">
        <w:rPr>
          <w:rFonts w:asciiTheme="minorHAnsi" w:hAnsiTheme="minorHAnsi" w:cstheme="minorHAnsi"/>
          <w:b/>
          <w:bCs/>
        </w:rPr>
        <w:t>společenské relevance</w:t>
      </w:r>
      <w:r w:rsidRPr="00C24D02">
        <w:rPr>
          <w:rFonts w:asciiTheme="minorHAnsi" w:hAnsiTheme="minorHAnsi" w:cstheme="minorHAnsi"/>
        </w:rPr>
        <w:t xml:space="preserve">, ačkoliv svým charakterem a obsahem jednoznačně odpovídá výsledku </w:t>
      </w:r>
      <w:r w:rsidRPr="00C24D02">
        <w:rPr>
          <w:rFonts w:asciiTheme="minorHAnsi" w:hAnsiTheme="minorHAnsi" w:cstheme="minorHAnsi"/>
          <w:b/>
          <w:bCs/>
        </w:rPr>
        <w:t xml:space="preserve">základního výzkumu </w:t>
      </w:r>
      <w:r w:rsidRPr="00C24D02">
        <w:rPr>
          <w:rFonts w:asciiTheme="minorHAnsi" w:hAnsiTheme="minorHAnsi" w:cstheme="minorHAnsi"/>
        </w:rPr>
        <w:t xml:space="preserve">a měl by být hodnocen </w:t>
      </w:r>
      <w:r w:rsidRPr="00C24D02">
        <w:rPr>
          <w:rFonts w:asciiTheme="minorHAnsi" w:hAnsiTheme="minorHAnsi" w:cstheme="minorHAnsi"/>
          <w:b/>
          <w:bCs/>
        </w:rPr>
        <w:t>podle přínosu k poznání</w:t>
      </w:r>
      <w:r w:rsidRPr="00C24D02">
        <w:rPr>
          <w:rFonts w:asciiTheme="minorHAnsi" w:hAnsiTheme="minorHAnsi" w:cstheme="minorHAnsi"/>
        </w:rPr>
        <w:t xml:space="preserve">. </w:t>
      </w:r>
    </w:p>
    <w:p w14:paraId="44DDD39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Tato kategorie byla nevhodně zvolena na naší instituci omylem (přepisem), proto je pro nás velmi důležité opětovné hodnocení ve správné kategorií, kde souhlasíme s popisem hodnotitelů a jsme přesvědčení o kvalitě našeho výsledku……</w:t>
      </w:r>
    </w:p>
    <w:p w14:paraId="0D0B55D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Z výše uvedeného vyplývá, že hodnocení podle </w:t>
      </w:r>
      <w:r w:rsidRPr="00C24D02">
        <w:rPr>
          <w:rFonts w:asciiTheme="minorHAnsi" w:hAnsiTheme="minorHAnsi" w:cstheme="minorHAnsi"/>
          <w:b/>
          <w:bCs/>
        </w:rPr>
        <w:t xml:space="preserve">společenské relevance </w:t>
      </w:r>
      <w:r w:rsidRPr="00C24D02">
        <w:rPr>
          <w:rFonts w:asciiTheme="minorHAnsi" w:hAnsiTheme="minorHAnsi" w:cstheme="minorHAnsi"/>
        </w:rPr>
        <w:t xml:space="preserve">neodpovídá skutečné povaze ani záměru výsledku. Tento nesoulad měl zásadní vliv na jeho výsledné hodnocení, které je v rámci společenského dopadu pochopitelně nižší, než by odpovídalo jeho </w:t>
      </w:r>
      <w:r w:rsidRPr="00C24D02">
        <w:rPr>
          <w:rFonts w:asciiTheme="minorHAnsi" w:hAnsiTheme="minorHAnsi" w:cstheme="minorHAnsi"/>
          <w:b/>
          <w:bCs/>
        </w:rPr>
        <w:t>vědeckému významu a přínosu k poznání</w:t>
      </w:r>
      <w:r w:rsidRPr="00C24D02">
        <w:rPr>
          <w:rFonts w:asciiTheme="minorHAnsi" w:hAnsiTheme="minorHAnsi" w:cstheme="minorHAnsi"/>
        </w:rPr>
        <w:t xml:space="preserve">. </w:t>
      </w:r>
    </w:p>
    <w:p w14:paraId="06E9215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 xml:space="preserve">Z těchto důvodů žádáme o </w:t>
      </w:r>
      <w:r w:rsidRPr="00C24D02">
        <w:rPr>
          <w:rFonts w:asciiTheme="minorHAnsi" w:hAnsiTheme="minorHAnsi" w:cstheme="minorHAnsi"/>
          <w:b/>
          <w:bCs/>
        </w:rPr>
        <w:t xml:space="preserve">přehodnocení výsledku </w:t>
      </w:r>
      <w:r w:rsidRPr="00C24D02">
        <w:rPr>
          <w:rFonts w:asciiTheme="minorHAnsi" w:hAnsiTheme="minorHAnsi" w:cstheme="minorHAnsi"/>
        </w:rPr>
        <w:t xml:space="preserve">a jeho posouzení </w:t>
      </w:r>
      <w:r w:rsidRPr="00C24D02">
        <w:rPr>
          <w:rFonts w:asciiTheme="minorHAnsi" w:hAnsiTheme="minorHAnsi" w:cstheme="minorHAnsi"/>
          <w:b/>
          <w:bCs/>
        </w:rPr>
        <w:t>v kategorii „přínos k poznání“</w:t>
      </w:r>
      <w:r w:rsidRPr="00C24D02">
        <w:rPr>
          <w:rFonts w:asciiTheme="minorHAnsi" w:hAnsiTheme="minorHAnsi" w:cstheme="minorHAnsi"/>
        </w:rPr>
        <w:t xml:space="preserve">, kde by bylo možné objektivně zhodnotit vědecký přínos, originalitu a ohlas v odborné komunitě, které jsou u tohoto výsledku jednoznačně prokazatelné.  </w:t>
      </w:r>
    </w:p>
    <w:p w14:paraId="38B04F8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Děkujeme za Vaše sdělení a chápeme vzniklou situaci. Bohužel však dodatečná změna klasifikace kritérií po odevzdání výsledku není dle platných pravidel možná a administrativní zařazení do kategorie společenské relevance již nelze zpětně upravit. Děkujeme za pochopení.</w:t>
      </w:r>
    </w:p>
    <w:p w14:paraId="5EE80133"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0582F7D8"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 xml:space="preserve">Při hodnocení je nutno postupovat dle oddílu </w:t>
      </w:r>
      <w:r w:rsidRPr="00C24D02">
        <w:rPr>
          <w:rFonts w:asciiTheme="minorHAnsi" w:hAnsiTheme="minorHAnsi" w:cstheme="minorHAnsi"/>
          <w:b/>
          <w:bCs/>
        </w:rPr>
        <w:t>4 M1 – kvalita vybraných výsledků,</w:t>
      </w:r>
      <w:r w:rsidRPr="00C24D02">
        <w:rPr>
          <w:rFonts w:asciiTheme="minorHAnsi" w:hAnsiTheme="minorHAnsi" w:cstheme="minorHAnsi"/>
        </w:rPr>
        <w:t xml:space="preserve"> písmene e) a f), Postupu</w:t>
      </w:r>
      <w:r w:rsidRPr="00C24D02">
        <w:rPr>
          <w:rStyle w:val="Znakapoznpodarou"/>
          <w:rFonts w:asciiTheme="minorHAnsi" w:eastAsiaTheme="majorEastAsia" w:hAnsiTheme="minorHAnsi" w:cstheme="minorHAnsi"/>
        </w:rPr>
        <w:footnoteReference w:id="142"/>
      </w:r>
      <w:r w:rsidRPr="00C24D02">
        <w:rPr>
          <w:rFonts w:asciiTheme="minorHAnsi" w:hAnsiTheme="minorHAnsi" w:cstheme="minorHAnsi"/>
        </w:rPr>
        <w:t xml:space="preserve">, ve kterém je uvedeno: </w:t>
      </w:r>
    </w:p>
    <w:p w14:paraId="0C6AC5AE" w14:textId="77777777" w:rsidR="00317816" w:rsidRPr="00C24D02" w:rsidRDefault="00317816" w:rsidP="00317816">
      <w:pPr>
        <w:spacing w:before="240" w:after="144" w:line="360" w:lineRule="auto"/>
        <w:jc w:val="both"/>
        <w:rPr>
          <w:rFonts w:asciiTheme="minorHAnsi" w:hAnsiTheme="minorHAnsi" w:cstheme="minorHAnsi"/>
          <w:i/>
          <w:iCs/>
        </w:rPr>
      </w:pPr>
      <w:r w:rsidRPr="00C24D02">
        <w:rPr>
          <w:rFonts w:asciiTheme="minorHAnsi" w:hAnsiTheme="minorHAnsi" w:cstheme="minorHAnsi"/>
          <w:i/>
          <w:iCs/>
        </w:rPr>
        <w:t>„e. Posouzení výsledků probíhá podle kritéria přínos k poznání nebo podle kritéria společenská relevance.</w:t>
      </w:r>
    </w:p>
    <w:p w14:paraId="772E5E21"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i/>
          <w:iCs/>
        </w:rPr>
        <w:t>“</w:t>
      </w:r>
      <w:r w:rsidRPr="00C24D02">
        <w:rPr>
          <w:rFonts w:asciiTheme="minorHAnsi" w:hAnsiTheme="minorHAnsi" w:cstheme="minorHAnsi"/>
          <w:color w:val="000000"/>
        </w:rPr>
        <w:t xml:space="preserve"> </w:t>
      </w:r>
      <w:r w:rsidRPr="00C24D02">
        <w:rPr>
          <w:rFonts w:asciiTheme="minorHAnsi" w:hAnsiTheme="minorHAnsi" w:cstheme="minorHAnsi"/>
          <w:i/>
          <w:iCs/>
        </w:rPr>
        <w:t>f. Výzkumné organizace samy určí, podle kterého kritéria bude jimi přihlášený výsledek posouzen. Toto své rozhodnutí výslovně zdůvodní v příslušném poli Aplikace pro sběr vybraných výsledků.“</w:t>
      </w:r>
    </w:p>
    <w:p w14:paraId="07EBE8A9" w14:textId="2A8C13AD"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názorem panelu, který je v souladu se závaznými dokumenty Metodiky 2017+. Ty stanoví, že volba kritéria hodnocení v Modulu M1 je výhradní volbou nominující výzkumné organizace. Uvědomuje si ale také, že by administrativní chyba neměla zásadně ovlivnit hodnocení vědeckovýzkumné činnosti organizace. Navrhuje proto výjimečně vrátit výsledek do hodnocení a hodnotit ve stejném panelu podle kritéria Přínos k poznání.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7A2DCE5" w14:textId="77777777" w:rsidTr="003D1A59">
        <w:tc>
          <w:tcPr>
            <w:tcW w:w="2405" w:type="dxa"/>
          </w:tcPr>
          <w:p w14:paraId="0049637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A7A0F1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VŠB-TUO - CEET</w:t>
            </w:r>
          </w:p>
        </w:tc>
      </w:tr>
      <w:tr w:rsidR="00317816" w:rsidRPr="00C24D02" w14:paraId="10D0253B" w14:textId="77777777" w:rsidTr="003D1A59">
        <w:tc>
          <w:tcPr>
            <w:tcW w:w="2405" w:type="dxa"/>
          </w:tcPr>
          <w:p w14:paraId="1E01341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F37F57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192510806</w:t>
            </w:r>
          </w:p>
        </w:tc>
      </w:tr>
      <w:tr w:rsidR="00317816" w:rsidRPr="00C24D02" w14:paraId="4B44343A" w14:textId="77777777" w:rsidTr="003D1A59">
        <w:trPr>
          <w:trHeight w:val="741"/>
        </w:trPr>
        <w:tc>
          <w:tcPr>
            <w:tcW w:w="2405" w:type="dxa"/>
          </w:tcPr>
          <w:p w14:paraId="1C3103D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1F6D9D9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Nanoparticles' Preparation, Properties, Interactions and Self-Organization</w:t>
            </w:r>
            <w:bookmarkStart w:id="52" w:name="_Hlk218605436"/>
            <w:bookmarkEnd w:id="52"/>
          </w:p>
        </w:tc>
      </w:tr>
      <w:tr w:rsidR="00317816" w:rsidRPr="00C24D02" w14:paraId="4B69FBCB" w14:textId="77777777" w:rsidTr="003D1A59">
        <w:tc>
          <w:tcPr>
            <w:tcW w:w="2405" w:type="dxa"/>
          </w:tcPr>
          <w:p w14:paraId="129464A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FORD</w:t>
            </w:r>
          </w:p>
        </w:tc>
        <w:tc>
          <w:tcPr>
            <w:tcW w:w="6378" w:type="dxa"/>
          </w:tcPr>
          <w:p w14:paraId="61E5E40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2.10</w:t>
            </w:r>
          </w:p>
        </w:tc>
      </w:tr>
      <w:tr w:rsidR="00317816" w:rsidRPr="00C24D02" w14:paraId="5EDDF087" w14:textId="77777777" w:rsidTr="003D1A59">
        <w:tc>
          <w:tcPr>
            <w:tcW w:w="2405" w:type="dxa"/>
          </w:tcPr>
          <w:p w14:paraId="3BED825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1AF585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174322A9" w14:textId="77777777" w:rsidTr="003D1A59">
        <w:tc>
          <w:tcPr>
            <w:tcW w:w="2405" w:type="dxa"/>
          </w:tcPr>
          <w:p w14:paraId="036157D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43"/>
            </w:r>
            <w:r w:rsidRPr="00C24D02">
              <w:rPr>
                <w:rFonts w:asciiTheme="minorHAnsi" w:eastAsia="Calibri" w:hAnsiTheme="minorHAnsi" w:cstheme="minorHAnsi"/>
              </w:rPr>
              <w:t>)</w:t>
            </w:r>
          </w:p>
        </w:tc>
        <w:tc>
          <w:tcPr>
            <w:tcW w:w="6378" w:type="dxa"/>
          </w:tcPr>
          <w:p w14:paraId="4873A30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5/4/-/4</w:t>
            </w:r>
          </w:p>
        </w:tc>
      </w:tr>
      <w:tr w:rsidR="00317816" w:rsidRPr="00C24D02" w14:paraId="2DAAD190" w14:textId="77777777" w:rsidTr="003D1A59">
        <w:tc>
          <w:tcPr>
            <w:tcW w:w="2405" w:type="dxa"/>
          </w:tcPr>
          <w:p w14:paraId="0595675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FA95190" w14:textId="1DB22E6D" w:rsidR="00317816" w:rsidRPr="00C24D02" w:rsidRDefault="001E4C4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r>
              <w:rPr>
                <w:rFonts w:asciiTheme="minorHAnsi" w:eastAsia="Calibri" w:hAnsiTheme="minorHAnsi" w:cstheme="minorHAnsi"/>
                <w:b/>
              </w:rPr>
              <w:t>.</w:t>
            </w:r>
          </w:p>
        </w:tc>
      </w:tr>
    </w:tbl>
    <w:p w14:paraId="0D364966" w14:textId="77777777" w:rsidR="00317816" w:rsidRPr="00C24D02" w:rsidRDefault="00317816" w:rsidP="00317816">
      <w:pPr>
        <w:spacing w:after="144" w:line="360" w:lineRule="auto"/>
        <w:rPr>
          <w:rFonts w:asciiTheme="minorHAnsi" w:hAnsiTheme="minorHAnsi" w:cstheme="minorHAnsi"/>
        </w:rPr>
      </w:pPr>
    </w:p>
    <w:p w14:paraId="76AA777D"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Záměna PP za SR</w:t>
      </w:r>
    </w:p>
    <w:p w14:paraId="04B6E16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76F23B4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S veškerou úctou si dovolujeme požádat o přehodnocení výsledku </w:t>
      </w:r>
      <w:r w:rsidRPr="00C24D02">
        <w:rPr>
          <w:rFonts w:asciiTheme="minorHAnsi" w:hAnsiTheme="minorHAnsi" w:cstheme="minorHAnsi"/>
          <w:b/>
          <w:bCs/>
        </w:rPr>
        <w:t xml:space="preserve">„Nanoparticles’ Preparation, Properties, Interactions and Self-Organization“ </w:t>
      </w:r>
      <w:r w:rsidRPr="00C24D02">
        <w:rPr>
          <w:rFonts w:asciiTheme="minorHAnsi" w:hAnsiTheme="minorHAnsi" w:cstheme="minorHAnsi"/>
        </w:rPr>
        <w:t xml:space="preserve">(publikovaného v edici </w:t>
      </w:r>
      <w:r w:rsidRPr="00C24D02">
        <w:rPr>
          <w:rFonts w:asciiTheme="minorHAnsi" w:hAnsiTheme="minorHAnsi" w:cstheme="minorHAnsi"/>
          <w:i/>
          <w:iCs/>
        </w:rPr>
        <w:t>SpringerBriefs</w:t>
      </w:r>
      <w:r w:rsidRPr="00C24D02">
        <w:rPr>
          <w:rFonts w:asciiTheme="minorHAnsi" w:hAnsiTheme="minorHAnsi" w:cstheme="minorHAnsi"/>
        </w:rPr>
        <w:t xml:space="preserve">) z důvodu jeho </w:t>
      </w:r>
      <w:r w:rsidRPr="00C24D02">
        <w:rPr>
          <w:rFonts w:asciiTheme="minorHAnsi" w:hAnsiTheme="minorHAnsi" w:cstheme="minorHAnsi"/>
          <w:b/>
          <w:bCs/>
        </w:rPr>
        <w:t>nesprávného zařazení do kategorie společenská relevance</w:t>
      </w:r>
      <w:r w:rsidRPr="00C24D02">
        <w:rPr>
          <w:rFonts w:asciiTheme="minorHAnsi" w:hAnsiTheme="minorHAnsi" w:cstheme="minorHAnsi"/>
        </w:rPr>
        <w:t xml:space="preserve">. </w:t>
      </w:r>
    </w:p>
    <w:p w14:paraId="45DA0816"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Domníváme se, že k tomuto nesprávnému zařazení došlo zřejmě v důsledku </w:t>
      </w:r>
      <w:r w:rsidRPr="00C24D02">
        <w:rPr>
          <w:rFonts w:asciiTheme="minorHAnsi" w:hAnsiTheme="minorHAnsi" w:cstheme="minorHAnsi"/>
          <w:b/>
          <w:bCs/>
        </w:rPr>
        <w:t>administrativního pochybení na pracovišti</w:t>
      </w:r>
      <w:r w:rsidRPr="00C24D02">
        <w:rPr>
          <w:rFonts w:asciiTheme="minorHAnsi" w:hAnsiTheme="minorHAnsi" w:cstheme="minorHAnsi"/>
        </w:rPr>
        <w:t xml:space="preserve">, kdy byl výsledek omylem uveden v nesprávné kategorii. </w:t>
      </w:r>
    </w:p>
    <w:p w14:paraId="58750B6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Předmětný výsledek představuje </w:t>
      </w:r>
      <w:r w:rsidRPr="00C24D02">
        <w:rPr>
          <w:rFonts w:asciiTheme="minorHAnsi" w:hAnsiTheme="minorHAnsi" w:cstheme="minorHAnsi"/>
          <w:b/>
          <w:bCs/>
        </w:rPr>
        <w:t>odbornou knihu, respektive studijní text</w:t>
      </w:r>
      <w:r w:rsidRPr="00C24D02">
        <w:rPr>
          <w:rFonts w:asciiTheme="minorHAnsi" w:hAnsiTheme="minorHAnsi" w:cstheme="minorHAnsi"/>
        </w:rPr>
        <w:t xml:space="preserve">, který byl vytvořen jako přehledná a odborně kvalitní publikace shrnující teoretické základy a široké spektrum aspektů nanotechnologií. Publikace má rozsah </w:t>
      </w:r>
      <w:r w:rsidRPr="00C24D02">
        <w:rPr>
          <w:rFonts w:asciiTheme="minorHAnsi" w:hAnsiTheme="minorHAnsi" w:cstheme="minorHAnsi"/>
          <w:b/>
          <w:bCs/>
        </w:rPr>
        <w:t>123 stran</w:t>
      </w:r>
      <w:r w:rsidRPr="00C24D02">
        <w:rPr>
          <w:rFonts w:asciiTheme="minorHAnsi" w:hAnsiTheme="minorHAnsi" w:cstheme="minorHAnsi"/>
        </w:rPr>
        <w:t xml:space="preserve">, obsahuje </w:t>
      </w:r>
      <w:r w:rsidRPr="00C24D02">
        <w:rPr>
          <w:rFonts w:asciiTheme="minorHAnsi" w:hAnsiTheme="minorHAnsi" w:cstheme="minorHAnsi"/>
          <w:b/>
          <w:bCs/>
        </w:rPr>
        <w:t xml:space="preserve">89 vyobrazení (většinou vlastních) </w:t>
      </w:r>
      <w:r w:rsidRPr="00C24D02">
        <w:rPr>
          <w:rFonts w:asciiTheme="minorHAnsi" w:hAnsiTheme="minorHAnsi" w:cstheme="minorHAnsi"/>
        </w:rPr>
        <w:t xml:space="preserve">a </w:t>
      </w:r>
      <w:r w:rsidRPr="00C24D02">
        <w:rPr>
          <w:rFonts w:asciiTheme="minorHAnsi" w:hAnsiTheme="minorHAnsi" w:cstheme="minorHAnsi"/>
          <w:b/>
          <w:bCs/>
        </w:rPr>
        <w:t>109 odkazů na odbornou literaturu</w:t>
      </w:r>
      <w:r w:rsidRPr="00C24D02">
        <w:rPr>
          <w:rFonts w:asciiTheme="minorHAnsi" w:hAnsiTheme="minorHAnsi" w:cstheme="minorHAnsi"/>
        </w:rPr>
        <w:t xml:space="preserve">. Jedná se tedy o odborný a vzdělávací materiál určený především </w:t>
      </w:r>
      <w:r w:rsidRPr="00C24D02">
        <w:rPr>
          <w:rFonts w:asciiTheme="minorHAnsi" w:hAnsiTheme="minorHAnsi" w:cstheme="minorHAnsi"/>
          <w:b/>
          <w:bCs/>
        </w:rPr>
        <w:t>studentům a akademické komunitě</w:t>
      </w:r>
      <w:r w:rsidRPr="00C24D02">
        <w:rPr>
          <w:rFonts w:asciiTheme="minorHAnsi" w:hAnsiTheme="minorHAnsi" w:cstheme="minorHAnsi"/>
        </w:rPr>
        <w:t xml:space="preserve">. </w:t>
      </w:r>
    </w:p>
    <w:p w14:paraId="1D447A3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Tento charakter publikace neodpovídá kategorii </w:t>
      </w:r>
      <w:r w:rsidRPr="00C24D02">
        <w:rPr>
          <w:rFonts w:asciiTheme="minorHAnsi" w:hAnsiTheme="minorHAnsi" w:cstheme="minorHAnsi"/>
          <w:i/>
          <w:iCs/>
        </w:rPr>
        <w:t>společenské relevance</w:t>
      </w:r>
      <w:r w:rsidRPr="00C24D02">
        <w:rPr>
          <w:rFonts w:asciiTheme="minorHAnsi" w:hAnsiTheme="minorHAnsi" w:cstheme="minorHAnsi"/>
        </w:rPr>
        <w:t xml:space="preserve">, která se vztahuje na výsledky s </w:t>
      </w:r>
      <w:r w:rsidRPr="00C24D02">
        <w:rPr>
          <w:rFonts w:asciiTheme="minorHAnsi" w:hAnsiTheme="minorHAnsi" w:cstheme="minorHAnsi"/>
          <w:b/>
          <w:bCs/>
        </w:rPr>
        <w:t xml:space="preserve">přesahem a dopadem mimo akademickou sféru </w:t>
      </w:r>
      <w:r w:rsidRPr="00C24D02">
        <w:rPr>
          <w:rFonts w:asciiTheme="minorHAnsi" w:hAnsiTheme="minorHAnsi" w:cstheme="minorHAnsi"/>
        </w:rPr>
        <w:t xml:space="preserve">– tedy s komerčním, aplikačním či jiným společenským využitím. </w:t>
      </w:r>
    </w:p>
    <w:p w14:paraId="67106D9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Z těchto důvodů si dovoluji zdvořile upozornit, že současné zařazení neodpovídá skutečné povaze ani účelu výsledku a vedlo k jeho </w:t>
      </w:r>
      <w:r w:rsidRPr="00C24D02">
        <w:rPr>
          <w:rFonts w:asciiTheme="minorHAnsi" w:hAnsiTheme="minorHAnsi" w:cstheme="minorHAnsi"/>
          <w:b/>
          <w:bCs/>
        </w:rPr>
        <w:t>neadekvátnímu hodnocení</w:t>
      </w:r>
      <w:r w:rsidRPr="00C24D02">
        <w:rPr>
          <w:rFonts w:asciiTheme="minorHAnsi" w:hAnsiTheme="minorHAnsi" w:cstheme="minorHAnsi"/>
        </w:rPr>
        <w:t xml:space="preserve">, které nezohledňuje jeho </w:t>
      </w:r>
      <w:r w:rsidRPr="00C24D02">
        <w:rPr>
          <w:rFonts w:asciiTheme="minorHAnsi" w:hAnsiTheme="minorHAnsi" w:cstheme="minorHAnsi"/>
        </w:rPr>
        <w:lastRenderedPageBreak/>
        <w:t xml:space="preserve">přínos v oblasti </w:t>
      </w:r>
      <w:r w:rsidRPr="00C24D02">
        <w:rPr>
          <w:rFonts w:asciiTheme="minorHAnsi" w:hAnsiTheme="minorHAnsi" w:cstheme="minorHAnsi"/>
          <w:b/>
          <w:bCs/>
        </w:rPr>
        <w:t xml:space="preserve">odborného vzdělávání a rozvoje znalostí </w:t>
      </w:r>
      <w:r w:rsidRPr="00C24D02">
        <w:rPr>
          <w:rFonts w:asciiTheme="minorHAnsi" w:hAnsiTheme="minorHAnsi" w:cstheme="minorHAnsi"/>
        </w:rPr>
        <w:t xml:space="preserve">v nanotechnologiích, souladu s jeho skutečným charakterem, tedy jako </w:t>
      </w:r>
      <w:r w:rsidRPr="00C24D02">
        <w:rPr>
          <w:rFonts w:asciiTheme="minorHAnsi" w:hAnsiTheme="minorHAnsi" w:cstheme="minorHAnsi"/>
          <w:b/>
          <w:bCs/>
        </w:rPr>
        <w:t>odbornou knihu či studijní text</w:t>
      </w:r>
      <w:r w:rsidRPr="00C24D02">
        <w:rPr>
          <w:rFonts w:asciiTheme="minorHAnsi" w:hAnsiTheme="minorHAnsi" w:cstheme="minorHAnsi"/>
        </w:rPr>
        <w:t>..</w:t>
      </w:r>
    </w:p>
    <w:p w14:paraId="7C49E24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Děkujeme za Vaše sdělení a chápeme vzniklou situaci. Bohužel však dodatečná změna klasifikace kritérií po odevzdání výsledku není dle platných pravidel možná a administrativní zařazení do kategorie společenské relevance již nelze zpětně upravit. Děkujeme za pochopení.</w:t>
      </w:r>
    </w:p>
    <w:p w14:paraId="397A60C9"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26DFD24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 xml:space="preserve">Při hodnocení je nutno postupovat dle oddílu </w:t>
      </w:r>
      <w:r w:rsidRPr="00C24D02">
        <w:rPr>
          <w:rFonts w:asciiTheme="minorHAnsi" w:hAnsiTheme="minorHAnsi" w:cstheme="minorHAnsi"/>
          <w:b/>
          <w:bCs/>
        </w:rPr>
        <w:t>4 M1 – kvalita vybraných výsledků,</w:t>
      </w:r>
      <w:r w:rsidRPr="00C24D02">
        <w:rPr>
          <w:rFonts w:asciiTheme="minorHAnsi" w:hAnsiTheme="minorHAnsi" w:cstheme="minorHAnsi"/>
        </w:rPr>
        <w:t xml:space="preserve"> písmene e) a f), Postupu</w:t>
      </w:r>
      <w:r w:rsidRPr="00C24D02">
        <w:rPr>
          <w:rStyle w:val="Znakapoznpodarou"/>
          <w:rFonts w:asciiTheme="minorHAnsi" w:eastAsiaTheme="majorEastAsia" w:hAnsiTheme="minorHAnsi" w:cstheme="minorHAnsi"/>
        </w:rPr>
        <w:footnoteReference w:id="144"/>
      </w:r>
      <w:r w:rsidRPr="00C24D02">
        <w:rPr>
          <w:rFonts w:asciiTheme="minorHAnsi" w:hAnsiTheme="minorHAnsi" w:cstheme="minorHAnsi"/>
        </w:rPr>
        <w:t xml:space="preserve">, ve kterém je uvedeno: </w:t>
      </w:r>
    </w:p>
    <w:p w14:paraId="73924CF9" w14:textId="77777777" w:rsidR="00317816" w:rsidRPr="00C24D02" w:rsidRDefault="00317816" w:rsidP="00317816">
      <w:pPr>
        <w:spacing w:before="240" w:after="144" w:line="360" w:lineRule="auto"/>
        <w:jc w:val="both"/>
        <w:rPr>
          <w:rFonts w:asciiTheme="minorHAnsi" w:hAnsiTheme="minorHAnsi" w:cstheme="minorHAnsi"/>
          <w:i/>
          <w:iCs/>
        </w:rPr>
      </w:pPr>
      <w:r w:rsidRPr="00C24D02">
        <w:rPr>
          <w:rFonts w:asciiTheme="minorHAnsi" w:hAnsiTheme="minorHAnsi" w:cstheme="minorHAnsi"/>
          <w:i/>
          <w:iCs/>
        </w:rPr>
        <w:t>„e. Posouzení výsledků probíhá podle kritéria přínos k poznání nebo podle kritéria společenská relevance.</w:t>
      </w:r>
    </w:p>
    <w:p w14:paraId="4E9FD73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i/>
          <w:iCs/>
        </w:rPr>
        <w:t>“</w:t>
      </w:r>
      <w:r w:rsidRPr="00C24D02">
        <w:rPr>
          <w:rFonts w:asciiTheme="minorHAnsi" w:hAnsiTheme="minorHAnsi" w:cstheme="minorHAnsi"/>
          <w:color w:val="000000"/>
        </w:rPr>
        <w:t xml:space="preserve"> </w:t>
      </w:r>
      <w:r w:rsidRPr="00C24D02">
        <w:rPr>
          <w:rFonts w:asciiTheme="minorHAnsi" w:hAnsiTheme="minorHAnsi" w:cstheme="minorHAnsi"/>
          <w:i/>
          <w:iCs/>
        </w:rPr>
        <w:t>f. Výzkumné organizace samy určí, podle kterého kritéria bude jimi přihlášený výsledek posouzen. Toto své rozhodnutí výslovně zdůvodní v příslušném poli Aplikace pro sběr vybraných výsledků.“</w:t>
      </w:r>
    </w:p>
    <w:p w14:paraId="4F8DB5B5" w14:textId="5ADBB09C"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názorem panelu, který je v souladu se závaznými dokumenty Metodiky 2017+. Ty stanoví, že volba kritéria hodnocení v Modulu M1 je výhradní volbou nominující výzkumné organizace. Uvědomuje si ale také, že by administrativní chyba neměla zásadně ovlivnit hodnocení vědeckovýzkumné činnosti organizace. Navrhuje proto výjimečně vrátit výsledek do hodnocení a hodnotit ve stejném panelu podle kritéria Přínos k poznání.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01764198" w14:textId="77777777" w:rsidTr="003D1A59">
        <w:tc>
          <w:tcPr>
            <w:tcW w:w="2405" w:type="dxa"/>
          </w:tcPr>
          <w:p w14:paraId="0A80B2C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9" w:type="dxa"/>
          </w:tcPr>
          <w:p w14:paraId="0658385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VŠB-TUO - Fakulta elektrotechniky a informatiky</w:t>
            </w:r>
          </w:p>
        </w:tc>
      </w:tr>
      <w:tr w:rsidR="00317816" w:rsidRPr="00C24D02" w14:paraId="215530F5" w14:textId="77777777" w:rsidTr="003D1A59">
        <w:tc>
          <w:tcPr>
            <w:tcW w:w="2405" w:type="dxa"/>
          </w:tcPr>
          <w:p w14:paraId="30BF0B7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9" w:type="dxa"/>
          </w:tcPr>
          <w:p w14:paraId="2C284E6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192487649</w:t>
            </w:r>
          </w:p>
        </w:tc>
      </w:tr>
      <w:tr w:rsidR="00317816" w:rsidRPr="00C24D02" w14:paraId="41CD1A22" w14:textId="77777777" w:rsidTr="003D1A59">
        <w:trPr>
          <w:trHeight w:val="741"/>
        </w:trPr>
        <w:tc>
          <w:tcPr>
            <w:tcW w:w="2405" w:type="dxa"/>
          </w:tcPr>
          <w:p w14:paraId="5C43ED2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9" w:type="dxa"/>
          </w:tcPr>
          <w:p w14:paraId="34EEA21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DRIVES Framework</w:t>
            </w:r>
            <w:bookmarkStart w:id="53" w:name="_Hlk218605525"/>
            <w:bookmarkEnd w:id="53"/>
          </w:p>
        </w:tc>
      </w:tr>
      <w:tr w:rsidR="00317816" w:rsidRPr="00C24D02" w14:paraId="253D99EF" w14:textId="77777777" w:rsidTr="003D1A59">
        <w:tc>
          <w:tcPr>
            <w:tcW w:w="2405" w:type="dxa"/>
          </w:tcPr>
          <w:p w14:paraId="747052A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9" w:type="dxa"/>
          </w:tcPr>
          <w:p w14:paraId="141FDBB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1.2.</w:t>
            </w:r>
          </w:p>
        </w:tc>
      </w:tr>
      <w:tr w:rsidR="00317816" w:rsidRPr="00C24D02" w14:paraId="0FD18A44" w14:textId="77777777" w:rsidTr="003D1A59">
        <w:tc>
          <w:tcPr>
            <w:tcW w:w="2405" w:type="dxa"/>
          </w:tcPr>
          <w:p w14:paraId="4747291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Kritérium (PP/SR)</w:t>
            </w:r>
          </w:p>
        </w:tc>
        <w:tc>
          <w:tcPr>
            <w:tcW w:w="6379" w:type="dxa"/>
          </w:tcPr>
          <w:p w14:paraId="1000F55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7C6212B2" w14:textId="77777777" w:rsidTr="003D1A59">
        <w:tc>
          <w:tcPr>
            <w:tcW w:w="2405" w:type="dxa"/>
          </w:tcPr>
          <w:p w14:paraId="74B1FCE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45"/>
            </w:r>
            <w:r w:rsidRPr="00C24D02">
              <w:rPr>
                <w:rFonts w:asciiTheme="minorHAnsi" w:eastAsia="Calibri" w:hAnsiTheme="minorHAnsi" w:cstheme="minorHAnsi"/>
              </w:rPr>
              <w:t>)</w:t>
            </w:r>
          </w:p>
        </w:tc>
        <w:tc>
          <w:tcPr>
            <w:tcW w:w="6379" w:type="dxa"/>
          </w:tcPr>
          <w:p w14:paraId="6B3F746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2/1/-/4</w:t>
            </w:r>
          </w:p>
        </w:tc>
      </w:tr>
      <w:tr w:rsidR="00317816" w:rsidRPr="00C24D02" w14:paraId="6752F75B" w14:textId="77777777" w:rsidTr="003D1A59">
        <w:tc>
          <w:tcPr>
            <w:tcW w:w="2405" w:type="dxa"/>
          </w:tcPr>
          <w:p w14:paraId="5974312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9" w:type="dxa"/>
          </w:tcPr>
          <w:p w14:paraId="598F3E39" w14:textId="77777777" w:rsidR="00317816" w:rsidRPr="00C24D02" w:rsidRDefault="00317816" w:rsidP="003D1A59">
            <w:pPr>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p>
        </w:tc>
      </w:tr>
    </w:tbl>
    <w:p w14:paraId="74E8586A" w14:textId="77777777" w:rsidR="00317816" w:rsidRPr="00C24D02" w:rsidRDefault="00317816" w:rsidP="00317816">
      <w:pPr>
        <w:spacing w:after="144" w:line="360" w:lineRule="auto"/>
        <w:rPr>
          <w:rFonts w:asciiTheme="minorHAnsi" w:hAnsiTheme="minorHAnsi" w:cstheme="minorHAnsi"/>
        </w:rPr>
      </w:pPr>
    </w:p>
    <w:p w14:paraId="1094CC1A"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Nejedná se o výzkumný výsledek</w:t>
      </w:r>
    </w:p>
    <w:p w14:paraId="3766C30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7C53FB1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Tímto podáváme odvolání k hodnocení výsledku Skills Hub Platform, který byl ohodnocen známkami 1 a 2 od hodnotitelů a výslednou známkou 4 od panelisty. Domníváme se, že toto hodnocení neodpovídá skutečnému přínosu, dopadu ani kategorii, do níž byl výsledek zařazen – </w:t>
      </w:r>
      <w:r w:rsidRPr="00C24D02">
        <w:rPr>
          <w:rFonts w:asciiTheme="minorHAnsi" w:hAnsiTheme="minorHAnsi" w:cstheme="minorHAnsi"/>
          <w:b/>
          <w:bCs/>
        </w:rPr>
        <w:t xml:space="preserve">tedy společenské relevance, nikoli přínosu k poznání </w:t>
      </w:r>
      <w:r w:rsidRPr="00C24D02">
        <w:rPr>
          <w:rFonts w:asciiTheme="minorHAnsi" w:hAnsiTheme="minorHAnsi" w:cstheme="minorHAnsi"/>
        </w:rPr>
        <w:t xml:space="preserve">– jak panelista zhodnotil a z tohoto důvodu </w:t>
      </w:r>
      <w:r w:rsidRPr="00C24D02">
        <w:rPr>
          <w:rFonts w:asciiTheme="minorHAnsi" w:hAnsiTheme="minorHAnsi" w:cstheme="minorHAnsi"/>
          <w:b/>
          <w:bCs/>
        </w:rPr>
        <w:t>nesprávně přiřadil známku 4</w:t>
      </w:r>
      <w:r w:rsidRPr="00C24D02">
        <w:rPr>
          <w:rFonts w:asciiTheme="minorHAnsi" w:hAnsiTheme="minorHAnsi" w:cstheme="minorHAnsi"/>
        </w:rPr>
        <w:t xml:space="preserve">. </w:t>
      </w:r>
    </w:p>
    <w:p w14:paraId="3CD4999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Platforma Skills Hub představuje mezinárodně využívaný online vzdělávací systém vyvíjený a udržovaný VŠB – Technickou univerzitou Ostrava (VSB-TUO), který je jádrovým nástrojem evropské spolupráce v rámci Pact for Skills 1a Automotive Skills Alliance2 (ASA) a dalších projektů. Obsahuje rozsáhlou databázi/katalog nově vyvinutých a přizpůsobených kurzů, kompetencí a pracovních rolí jejichž cílem je podpora přechodu k zelené a digitální ekonomice v Evropě. </w:t>
      </w:r>
    </w:p>
    <w:p w14:paraId="43160A6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1. Vyjádření k výtce: „Nejedná se o výzkumný výsledek“ </w:t>
      </w:r>
    </w:p>
    <w:p w14:paraId="3F9A009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Výsledek byl nikoli omylem, ale zcela záměrně vložen do kategorie </w:t>
      </w:r>
      <w:r w:rsidRPr="00C24D02">
        <w:rPr>
          <w:rFonts w:asciiTheme="minorHAnsi" w:hAnsiTheme="minorHAnsi" w:cstheme="minorHAnsi"/>
          <w:i/>
          <w:iCs/>
        </w:rPr>
        <w:t>společenské relevance (ze strany VSB-TUO)</w:t>
      </w:r>
      <w:r w:rsidRPr="00C24D02">
        <w:rPr>
          <w:rFonts w:asciiTheme="minorHAnsi" w:hAnsiTheme="minorHAnsi" w:cstheme="minorHAnsi"/>
        </w:rPr>
        <w:t xml:space="preserve">, což odpovídá charakteru výstupu a metodice modulu 1. Cílem nebylo předkládat vědecký poznatek posouvající </w:t>
      </w:r>
      <w:r w:rsidRPr="00C24D02">
        <w:rPr>
          <w:rFonts w:asciiTheme="minorHAnsi" w:hAnsiTheme="minorHAnsi" w:cstheme="minorHAnsi"/>
          <w:i/>
          <w:iCs/>
        </w:rPr>
        <w:t>stav poznání</w:t>
      </w:r>
      <w:r w:rsidRPr="00C24D02">
        <w:rPr>
          <w:rFonts w:asciiTheme="minorHAnsi" w:hAnsiTheme="minorHAnsi" w:cstheme="minorHAnsi"/>
        </w:rPr>
        <w:t xml:space="preserve">, nýbrž prakticky uplatnit výsledky výzkumu a vývoje v podobě nástroje, který má společenský a ekonomický dopad. </w:t>
      </w:r>
    </w:p>
    <w:p w14:paraId="12164FC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Panelista hodnotil výsledek podle kritérií pro </w:t>
      </w:r>
      <w:r w:rsidRPr="00C24D02">
        <w:rPr>
          <w:rFonts w:asciiTheme="minorHAnsi" w:hAnsiTheme="minorHAnsi" w:cstheme="minorHAnsi"/>
          <w:i/>
          <w:iCs/>
        </w:rPr>
        <w:t>výzkumný výsledek</w:t>
      </w:r>
      <w:r w:rsidRPr="00C24D02">
        <w:rPr>
          <w:rFonts w:asciiTheme="minorHAnsi" w:hAnsiTheme="minorHAnsi" w:cstheme="minorHAnsi"/>
        </w:rPr>
        <w:t xml:space="preserve">, což je v rozporu s metodikou. Podle metodiky modulu 1 se v kategorii </w:t>
      </w:r>
      <w:r w:rsidRPr="00C24D02">
        <w:rPr>
          <w:rFonts w:asciiTheme="minorHAnsi" w:hAnsiTheme="minorHAnsi" w:cstheme="minorHAnsi"/>
          <w:i/>
          <w:iCs/>
        </w:rPr>
        <w:t xml:space="preserve">společenské relevance </w:t>
      </w:r>
      <w:r w:rsidRPr="00C24D02">
        <w:rPr>
          <w:rFonts w:asciiTheme="minorHAnsi" w:hAnsiTheme="minorHAnsi" w:cstheme="minorHAnsi"/>
        </w:rPr>
        <w:t xml:space="preserve">hodnotí především: </w:t>
      </w:r>
    </w:p>
    <w:p w14:paraId="7CFFE088" w14:textId="77777777" w:rsidR="00317816" w:rsidRPr="00C24D02" w:rsidRDefault="00317816" w:rsidP="00317816">
      <w:pPr>
        <w:numPr>
          <w:ilvl w:val="0"/>
          <w:numId w:val="33"/>
        </w:numPr>
        <w:spacing w:after="144" w:line="360" w:lineRule="auto"/>
        <w:jc w:val="both"/>
        <w:rPr>
          <w:rFonts w:asciiTheme="minorHAnsi" w:hAnsiTheme="minorHAnsi" w:cstheme="minorHAnsi"/>
        </w:rPr>
      </w:pPr>
      <w:r w:rsidRPr="00C24D02">
        <w:rPr>
          <w:rFonts w:asciiTheme="minorHAnsi" w:hAnsiTheme="minorHAnsi" w:cstheme="minorHAnsi"/>
        </w:rPr>
        <w:lastRenderedPageBreak/>
        <w:t xml:space="preserve">společenský a ekonomický dopad výsledku, </w:t>
      </w:r>
    </w:p>
    <w:p w14:paraId="7F55ADAD" w14:textId="77777777" w:rsidR="00317816" w:rsidRPr="00C24D02" w:rsidRDefault="00317816" w:rsidP="00317816">
      <w:pPr>
        <w:numPr>
          <w:ilvl w:val="0"/>
          <w:numId w:val="33"/>
        </w:numPr>
        <w:spacing w:after="144" w:line="360" w:lineRule="auto"/>
        <w:jc w:val="both"/>
        <w:rPr>
          <w:rFonts w:asciiTheme="minorHAnsi" w:hAnsiTheme="minorHAnsi" w:cstheme="minorHAnsi"/>
        </w:rPr>
      </w:pPr>
      <w:r w:rsidRPr="00C24D02">
        <w:rPr>
          <w:rFonts w:asciiTheme="minorHAnsi" w:hAnsiTheme="minorHAnsi" w:cstheme="minorHAnsi"/>
        </w:rPr>
        <w:t xml:space="preserve">přínos pro politiky, instituce, zaměstnavatele a vzdělávací ekosystém, </w:t>
      </w:r>
    </w:p>
    <w:p w14:paraId="14F4B1D3" w14:textId="77777777" w:rsidR="00317816" w:rsidRPr="00C24D02" w:rsidRDefault="00317816" w:rsidP="00317816">
      <w:pPr>
        <w:numPr>
          <w:ilvl w:val="0"/>
          <w:numId w:val="33"/>
        </w:numPr>
        <w:spacing w:after="144" w:line="360" w:lineRule="auto"/>
        <w:jc w:val="both"/>
        <w:rPr>
          <w:rFonts w:asciiTheme="minorHAnsi" w:hAnsiTheme="minorHAnsi" w:cstheme="minorHAnsi"/>
        </w:rPr>
      </w:pPr>
      <w:r w:rsidRPr="00C24D02">
        <w:rPr>
          <w:rFonts w:asciiTheme="minorHAnsi" w:hAnsiTheme="minorHAnsi" w:cstheme="minorHAnsi"/>
        </w:rPr>
        <w:t>udržitelnost a rozsah využívání výsledku v praxi. ….</w:t>
      </w:r>
    </w:p>
    <w:p w14:paraId="0A569564"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….VSB – Technická univerzita Ostrava je </w:t>
      </w:r>
      <w:r w:rsidRPr="00C24D02">
        <w:rPr>
          <w:rFonts w:asciiTheme="minorHAnsi" w:hAnsiTheme="minorHAnsi" w:cstheme="minorHAnsi"/>
          <w:b/>
          <w:bCs/>
        </w:rPr>
        <w:t xml:space="preserve">přímým autorem a vývojářem </w:t>
      </w:r>
      <w:r w:rsidRPr="00C24D02">
        <w:rPr>
          <w:rFonts w:asciiTheme="minorHAnsi" w:hAnsiTheme="minorHAnsi" w:cstheme="minorHAnsi"/>
        </w:rPr>
        <w:t xml:space="preserve">platformy. </w:t>
      </w:r>
    </w:p>
    <w:p w14:paraId="36ADD779" w14:textId="77777777" w:rsidR="00317816" w:rsidRPr="00C24D02" w:rsidRDefault="00317816" w:rsidP="00317816">
      <w:pPr>
        <w:numPr>
          <w:ilvl w:val="0"/>
          <w:numId w:val="34"/>
        </w:numPr>
        <w:spacing w:after="144" w:line="360" w:lineRule="auto"/>
        <w:ind w:left="851" w:hanging="425"/>
        <w:jc w:val="both"/>
        <w:rPr>
          <w:rFonts w:asciiTheme="minorHAnsi" w:hAnsiTheme="minorHAnsi" w:cstheme="minorHAnsi"/>
        </w:rPr>
      </w:pPr>
      <w:r w:rsidRPr="00C24D02">
        <w:rPr>
          <w:rFonts w:asciiTheme="minorHAnsi" w:hAnsiTheme="minorHAnsi" w:cstheme="minorHAnsi"/>
        </w:rPr>
        <w:t xml:space="preserve">Pracovníci univerzity zajišťovali </w:t>
      </w:r>
      <w:r w:rsidRPr="00C24D02">
        <w:rPr>
          <w:rFonts w:asciiTheme="minorHAnsi" w:hAnsiTheme="minorHAnsi" w:cstheme="minorHAnsi"/>
          <w:b/>
          <w:bCs/>
        </w:rPr>
        <w:t>myšlenku, návrh systému, architekturu, vývoj, testování i implementaci</w:t>
      </w:r>
      <w:r w:rsidRPr="00C24D02">
        <w:rPr>
          <w:rFonts w:asciiTheme="minorHAnsi" w:hAnsiTheme="minorHAnsi" w:cstheme="minorHAnsi"/>
        </w:rPr>
        <w:t xml:space="preserve">. </w:t>
      </w:r>
    </w:p>
    <w:p w14:paraId="463014FF" w14:textId="77777777" w:rsidR="00317816" w:rsidRPr="00C24D02" w:rsidRDefault="00317816" w:rsidP="00317816">
      <w:pPr>
        <w:numPr>
          <w:ilvl w:val="0"/>
          <w:numId w:val="34"/>
        </w:numPr>
        <w:spacing w:after="144" w:line="360" w:lineRule="auto"/>
        <w:ind w:left="851" w:hanging="425"/>
        <w:jc w:val="both"/>
        <w:rPr>
          <w:rFonts w:asciiTheme="minorHAnsi" w:hAnsiTheme="minorHAnsi" w:cstheme="minorHAnsi"/>
        </w:rPr>
      </w:pPr>
      <w:r w:rsidRPr="00C24D02">
        <w:rPr>
          <w:rFonts w:asciiTheme="minorHAnsi" w:hAnsiTheme="minorHAnsi" w:cstheme="minorHAnsi"/>
        </w:rPr>
        <w:t xml:space="preserve">Partneři z konsorcií </w:t>
      </w:r>
      <w:r w:rsidRPr="00C24D02">
        <w:rPr>
          <w:rFonts w:asciiTheme="minorHAnsi" w:hAnsiTheme="minorHAnsi" w:cstheme="minorHAnsi"/>
          <w:b/>
          <w:bCs/>
        </w:rPr>
        <w:t xml:space="preserve">DRIVES </w:t>
      </w:r>
      <w:r w:rsidRPr="00C24D02">
        <w:rPr>
          <w:rFonts w:asciiTheme="minorHAnsi" w:hAnsiTheme="minorHAnsi" w:cstheme="minorHAnsi"/>
        </w:rPr>
        <w:t xml:space="preserve">a </w:t>
      </w:r>
      <w:r w:rsidRPr="00C24D02">
        <w:rPr>
          <w:rFonts w:asciiTheme="minorHAnsi" w:hAnsiTheme="minorHAnsi" w:cstheme="minorHAnsi"/>
          <w:b/>
          <w:bCs/>
        </w:rPr>
        <w:t xml:space="preserve">ALBATTS </w:t>
      </w:r>
      <w:r w:rsidRPr="00C24D02">
        <w:rPr>
          <w:rFonts w:asciiTheme="minorHAnsi" w:hAnsiTheme="minorHAnsi" w:cstheme="minorHAnsi"/>
        </w:rPr>
        <w:t xml:space="preserve">vystupovali jako uživatelé a odborní garanti některých obsahových části, avšak </w:t>
      </w:r>
      <w:r w:rsidRPr="00C24D02">
        <w:rPr>
          <w:rFonts w:asciiTheme="minorHAnsi" w:hAnsiTheme="minorHAnsi" w:cstheme="minorHAnsi"/>
          <w:b/>
          <w:bCs/>
        </w:rPr>
        <w:t>nepodíleli se na implementaci softwaru</w:t>
      </w:r>
      <w:r w:rsidRPr="00C24D02">
        <w:rPr>
          <w:rFonts w:asciiTheme="minorHAnsi" w:hAnsiTheme="minorHAnsi" w:cstheme="minorHAnsi"/>
        </w:rPr>
        <w:t xml:space="preserve">. </w:t>
      </w:r>
    </w:p>
    <w:p w14:paraId="3DA264E3" w14:textId="77777777" w:rsidR="00317816" w:rsidRPr="00C24D02" w:rsidRDefault="00317816" w:rsidP="00317816">
      <w:pPr>
        <w:numPr>
          <w:ilvl w:val="0"/>
          <w:numId w:val="34"/>
        </w:numPr>
        <w:spacing w:after="144" w:line="360" w:lineRule="auto"/>
        <w:ind w:left="851" w:hanging="425"/>
        <w:jc w:val="both"/>
        <w:rPr>
          <w:rFonts w:asciiTheme="minorHAnsi" w:hAnsiTheme="minorHAnsi" w:cstheme="minorHAnsi"/>
        </w:rPr>
      </w:pPr>
      <w:r w:rsidRPr="00C24D02">
        <w:rPr>
          <w:rFonts w:asciiTheme="minorHAnsi" w:hAnsiTheme="minorHAnsi" w:cstheme="minorHAnsi"/>
        </w:rPr>
        <w:t xml:space="preserve">VSB-TUO je zároveň zodpovědná za </w:t>
      </w:r>
      <w:r w:rsidRPr="00C24D02">
        <w:rPr>
          <w:rFonts w:asciiTheme="minorHAnsi" w:hAnsiTheme="minorHAnsi" w:cstheme="minorHAnsi"/>
          <w:b/>
          <w:bCs/>
        </w:rPr>
        <w:t xml:space="preserve">údržbu a rozvoj systému </w:t>
      </w:r>
      <w:r w:rsidRPr="00C24D02">
        <w:rPr>
          <w:rFonts w:asciiTheme="minorHAnsi" w:hAnsiTheme="minorHAnsi" w:cstheme="minorHAnsi"/>
        </w:rPr>
        <w:t xml:space="preserve">a za jeho </w:t>
      </w:r>
      <w:r w:rsidRPr="00C24D02">
        <w:rPr>
          <w:rFonts w:asciiTheme="minorHAnsi" w:hAnsiTheme="minorHAnsi" w:cstheme="minorHAnsi"/>
          <w:b/>
          <w:bCs/>
        </w:rPr>
        <w:t>nasazení v mezinárodním ekosystému</w:t>
      </w:r>
      <w:r w:rsidRPr="00C24D02">
        <w:rPr>
          <w:rFonts w:asciiTheme="minorHAnsi" w:hAnsiTheme="minorHAnsi" w:cstheme="minorHAnsi"/>
        </w:rPr>
        <w:t xml:space="preserve">. </w:t>
      </w:r>
    </w:p>
    <w:p w14:paraId="1A0521A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Tím je jasně doloženo, že univerzita je </w:t>
      </w:r>
      <w:r w:rsidRPr="00C24D02">
        <w:rPr>
          <w:rFonts w:asciiTheme="minorHAnsi" w:hAnsiTheme="minorHAnsi" w:cstheme="minorHAnsi"/>
          <w:b/>
          <w:bCs/>
        </w:rPr>
        <w:t>autorem myšlenky celoevropského katalogu, který obsahuje referenční kompetenční matici, provázání na kurzy a mikro-certifikáty, a také univerzita je jediným realizátorem patřičného softwarového řešení</w:t>
      </w:r>
      <w:r w:rsidRPr="00C24D02">
        <w:rPr>
          <w:rFonts w:asciiTheme="minorHAnsi" w:hAnsiTheme="minorHAnsi" w:cstheme="minorHAnsi"/>
        </w:rPr>
        <w:t xml:space="preserve">, nikoli pouze uživatelem či koordinátorem projektů, které ho využívají. </w:t>
      </w:r>
    </w:p>
    <w:p w14:paraId="51E988B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4. Závěr </w:t>
      </w:r>
    </w:p>
    <w:p w14:paraId="072ECE6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 základě výše uvedených skutečností žádáme o </w:t>
      </w:r>
      <w:r w:rsidRPr="00C24D02">
        <w:rPr>
          <w:rFonts w:asciiTheme="minorHAnsi" w:hAnsiTheme="minorHAnsi" w:cstheme="minorHAnsi"/>
          <w:b/>
          <w:bCs/>
        </w:rPr>
        <w:t>přehodnocení udělené známky</w:t>
      </w:r>
      <w:r w:rsidRPr="00C24D02">
        <w:rPr>
          <w:rFonts w:asciiTheme="minorHAnsi" w:hAnsiTheme="minorHAnsi" w:cstheme="minorHAnsi"/>
        </w:rPr>
        <w:t xml:space="preserve">. Domníváme se, že výsledky a dopady </w:t>
      </w:r>
      <w:r w:rsidRPr="00C24D02">
        <w:rPr>
          <w:rFonts w:asciiTheme="minorHAnsi" w:hAnsiTheme="minorHAnsi" w:cstheme="minorHAnsi"/>
          <w:i/>
          <w:iCs/>
        </w:rPr>
        <w:t xml:space="preserve">Skills Hub Platform </w:t>
      </w:r>
      <w:r w:rsidRPr="00C24D02">
        <w:rPr>
          <w:rFonts w:asciiTheme="minorHAnsi" w:hAnsiTheme="minorHAnsi" w:cstheme="minorHAnsi"/>
        </w:rPr>
        <w:t xml:space="preserve">jednoznačně odpovídají nejvyšší kvalitativní úrovni (stupeň 1) v rámci kategorie </w:t>
      </w:r>
      <w:r w:rsidRPr="00C24D02">
        <w:rPr>
          <w:rFonts w:asciiTheme="minorHAnsi" w:hAnsiTheme="minorHAnsi" w:cstheme="minorHAnsi"/>
          <w:i/>
          <w:iCs/>
        </w:rPr>
        <w:t>společenská relevance</w:t>
      </w:r>
      <w:r w:rsidRPr="00C24D02">
        <w:rPr>
          <w:rFonts w:asciiTheme="minorHAnsi" w:hAnsiTheme="minorHAnsi" w:cstheme="minorHAnsi"/>
        </w:rPr>
        <w:t xml:space="preserve">. </w:t>
      </w:r>
    </w:p>
    <w:p w14:paraId="29B09A1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Děkujeme za zvážení naší žádosti a jsme připraveni doplnit jakékoli další podklady nebo důkazy podporující tento závěr.  </w:t>
      </w:r>
    </w:p>
    <w:p w14:paraId="7714FE7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Námitka říká, že Skills Hub (DRIVES Framefork) byl předložen v kategorii „společenská relevance“, kde se má hodnotit jeho mezinárodní dopad, využití a strategický význam, zatímco panelista jej posuzoval podle kritérií pro „výzkumný výsledek“, označil ho za nevýzkumný a proto mu dal známku 4. Pro účely hodnocení programů účelové podpory výzkumu, vývoje a inovací se výzkumem a experimentálním vývojem a inovací (VaVI) rozumí tvůrčí a systematická činnost uskutečňovaná s cílem rozšířit poznání a nalézt nové aplikace dosavadního poznání (viz např, Frascati Manual 2015, OECD, kap. 2.2, odst. 2.5). Předložený výsledek je sice užitečný, ale nesplňuje prvek rozšíření poznání nebo užití poznání novým </w:t>
      </w:r>
      <w:r w:rsidRPr="00C24D02">
        <w:rPr>
          <w:rFonts w:asciiTheme="minorHAnsi" w:hAnsiTheme="minorHAnsi" w:cstheme="minorHAnsi"/>
        </w:rPr>
        <w:lastRenderedPageBreak/>
        <w:t>způsobem, a tedy není reálně výzkumným výsledkem ve smyslu hodnocení VaVI. Odborný panel setrvává na svém původním rozhodnutí ohledně hodnocení výsledku.</w:t>
      </w:r>
    </w:p>
    <w:p w14:paraId="7B72C9FC"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7DBBAF92"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w:t>
      </w:r>
      <w:r w:rsidRPr="00C24D02">
        <w:rPr>
          <w:rFonts w:asciiTheme="minorHAnsi" w:hAnsiTheme="minorHAnsi" w:cstheme="minorHAnsi"/>
        </w:rPr>
        <w:t xml:space="preserve">Při hodnocení je nutno postupovat dle oddílu </w:t>
      </w:r>
      <w:r w:rsidRPr="00C24D02">
        <w:rPr>
          <w:rFonts w:asciiTheme="minorHAnsi" w:hAnsiTheme="minorHAnsi" w:cstheme="minorHAnsi"/>
          <w:b/>
          <w:bCs/>
        </w:rPr>
        <w:t>7.2.3 Rozhodování o výsledném zařazení výsledku na hodnoticí škále</w:t>
      </w:r>
      <w:r w:rsidRPr="00C24D02">
        <w:rPr>
          <w:rFonts w:asciiTheme="minorHAnsi" w:hAnsiTheme="minorHAnsi" w:cstheme="minorHAnsi"/>
        </w:rPr>
        <w:t>, písmene d), Postupu</w:t>
      </w:r>
      <w:r w:rsidRPr="00C24D02">
        <w:rPr>
          <w:rStyle w:val="Znakapoznpodarou"/>
          <w:rFonts w:asciiTheme="minorHAnsi" w:eastAsiaTheme="majorEastAsia" w:hAnsiTheme="minorHAnsi" w:cstheme="minorHAnsi"/>
        </w:rPr>
        <w:footnoteReference w:id="146"/>
      </w:r>
      <w:r w:rsidRPr="00C24D02">
        <w:rPr>
          <w:rFonts w:asciiTheme="minorHAnsi" w:hAnsiTheme="minorHAnsi" w:cstheme="minorHAnsi"/>
        </w:rPr>
        <w:t xml:space="preserve">, ve kterém je uvedeno: </w:t>
      </w:r>
      <w:r w:rsidRPr="00C24D02">
        <w:rPr>
          <w:rFonts w:asciiTheme="minorHAnsi" w:hAnsiTheme="minorHAnsi" w:cstheme="minorHAnsi"/>
          <w:i/>
          <w:iCs/>
        </w:rPr>
        <w:t>„Garant hodnocení vybraných výsledků má právo udělit výsledné hodnocení odlišující se o jeden stupeň od rozsahu, který je dán hodnotiteli. Toto rozhodnutí musí zdůvodnit. Pokud garant bibliometrické analýzy s navržením hodnocením nesouhlasí, může navrhnout alternativu. V případě, že oba garanti nedosáhnou konsensu, postoupí své návrhy předsedovi panelu, který se standardně přikloní k jednomu z návrhů. Tímto rozhodnutím může být pověřen i místopředseda Odborného panelu.“</w:t>
      </w:r>
    </w:p>
    <w:p w14:paraId="7C52D04E" w14:textId="39132591"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nesouhlasí se zachováním původní klasifikace a navrhuje výsledek vrátit do hodnocení. Nové hodnocení přitom musí být argumentačně v souladu s kritériem, ke kterému je výsledek přihlášen (Společenská relevance).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1DCE580" w14:textId="77777777" w:rsidTr="003D1A59">
        <w:tc>
          <w:tcPr>
            <w:tcW w:w="2405" w:type="dxa"/>
          </w:tcPr>
          <w:p w14:paraId="100E2CF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0AE081B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VŠB-TUO - Fakulta elektrotechniky a informatiky</w:t>
            </w:r>
          </w:p>
        </w:tc>
      </w:tr>
      <w:tr w:rsidR="00317816" w:rsidRPr="00C24D02" w14:paraId="56BE84EB" w14:textId="77777777" w:rsidTr="003D1A59">
        <w:tc>
          <w:tcPr>
            <w:tcW w:w="2405" w:type="dxa"/>
          </w:tcPr>
          <w:p w14:paraId="725D5D2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2CB927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192540414</w:t>
            </w:r>
          </w:p>
        </w:tc>
      </w:tr>
      <w:tr w:rsidR="00317816" w:rsidRPr="00C24D02" w14:paraId="764B541F" w14:textId="77777777" w:rsidTr="003D1A59">
        <w:trPr>
          <w:trHeight w:val="741"/>
        </w:trPr>
        <w:tc>
          <w:tcPr>
            <w:tcW w:w="2405" w:type="dxa"/>
          </w:tcPr>
          <w:p w14:paraId="65FE133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F34591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Mineralogy of the coal waste dumps from the Czech part of the Upper Silesian Basin: Emphasized role of halides for element mobility</w:t>
            </w:r>
            <w:bookmarkStart w:id="54" w:name="_Hlk218605597"/>
            <w:bookmarkEnd w:id="54"/>
          </w:p>
        </w:tc>
      </w:tr>
      <w:tr w:rsidR="00317816" w:rsidRPr="00C24D02" w14:paraId="6BA95586" w14:textId="77777777" w:rsidTr="003D1A59">
        <w:tc>
          <w:tcPr>
            <w:tcW w:w="2405" w:type="dxa"/>
          </w:tcPr>
          <w:p w14:paraId="42E7180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690CA3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1.5</w:t>
            </w:r>
          </w:p>
        </w:tc>
      </w:tr>
      <w:tr w:rsidR="00317816" w:rsidRPr="00C24D02" w14:paraId="1DE46595" w14:textId="77777777" w:rsidTr="003D1A59">
        <w:tc>
          <w:tcPr>
            <w:tcW w:w="2405" w:type="dxa"/>
          </w:tcPr>
          <w:p w14:paraId="5A42D77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5150A55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4FFA4A96" w14:textId="77777777" w:rsidTr="003D1A59">
        <w:tc>
          <w:tcPr>
            <w:tcW w:w="2405" w:type="dxa"/>
          </w:tcPr>
          <w:p w14:paraId="5E19D09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47"/>
            </w:r>
            <w:r w:rsidRPr="00C24D02">
              <w:rPr>
                <w:rFonts w:asciiTheme="minorHAnsi" w:eastAsia="Calibri" w:hAnsiTheme="minorHAnsi" w:cstheme="minorHAnsi"/>
              </w:rPr>
              <w:t>)</w:t>
            </w:r>
          </w:p>
        </w:tc>
        <w:tc>
          <w:tcPr>
            <w:tcW w:w="6378" w:type="dxa"/>
          </w:tcPr>
          <w:p w14:paraId="1F63BA9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w:t>
            </w:r>
          </w:p>
        </w:tc>
      </w:tr>
      <w:tr w:rsidR="00317816" w:rsidRPr="00C24D02" w14:paraId="32EB5290" w14:textId="77777777" w:rsidTr="003D1A59">
        <w:tc>
          <w:tcPr>
            <w:tcW w:w="2405" w:type="dxa"/>
          </w:tcPr>
          <w:p w14:paraId="500C2F8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Návrh rozhodnutí Rady</w:t>
            </w:r>
          </w:p>
        </w:tc>
        <w:tc>
          <w:tcPr>
            <w:tcW w:w="6378" w:type="dxa"/>
          </w:tcPr>
          <w:p w14:paraId="7E879851"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5.</w:t>
            </w:r>
          </w:p>
        </w:tc>
      </w:tr>
    </w:tbl>
    <w:p w14:paraId="08CB30F6" w14:textId="77777777" w:rsidR="00317816" w:rsidRPr="00C24D02" w:rsidRDefault="00317816" w:rsidP="00317816">
      <w:pPr>
        <w:spacing w:after="144" w:line="360" w:lineRule="auto"/>
        <w:rPr>
          <w:rFonts w:asciiTheme="minorHAnsi" w:hAnsiTheme="minorHAnsi" w:cstheme="minorHAnsi"/>
        </w:rPr>
      </w:pPr>
    </w:p>
    <w:p w14:paraId="76220E4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Nedostupnost výsledku</w:t>
      </w:r>
    </w:p>
    <w:p w14:paraId="1389B8F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58AB8F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Dovolte mi, abychom touto cestou požádali o přehodnocení (resp. nové přezkoumání) hodnocení „</w:t>
      </w:r>
      <w:r w:rsidRPr="00C24D02">
        <w:rPr>
          <w:rFonts w:asciiTheme="minorHAnsi" w:hAnsiTheme="minorHAnsi" w:cstheme="minorHAnsi"/>
          <w:b/>
          <w:bCs/>
        </w:rPr>
        <w:t>technická 5</w:t>
      </w:r>
      <w:r w:rsidRPr="00C24D02">
        <w:rPr>
          <w:rFonts w:asciiTheme="minorHAnsi" w:hAnsiTheme="minorHAnsi" w:cstheme="minorHAnsi"/>
        </w:rPr>
        <w:t xml:space="preserve">“, které bylo uděleno našemu výsledku: </w:t>
      </w:r>
      <w:r w:rsidRPr="00C24D02">
        <w:rPr>
          <w:rFonts w:asciiTheme="minorHAnsi" w:hAnsiTheme="minorHAnsi" w:cstheme="minorHAnsi"/>
          <w:b/>
          <w:bCs/>
        </w:rPr>
        <w:t>MATÝSEK, Dalibor a JIRÁSEK, Jakub</w:t>
      </w:r>
      <w:r w:rsidRPr="00C24D02">
        <w:rPr>
          <w:rFonts w:asciiTheme="minorHAnsi" w:hAnsiTheme="minorHAnsi" w:cstheme="minorHAnsi"/>
        </w:rPr>
        <w:t xml:space="preserve">. Mineralogy of the coal waste dumps from the Czech part of the Upper Silesian Basin: Emphasized role of halides for element mobility. </w:t>
      </w:r>
      <w:r w:rsidRPr="00C24D02">
        <w:rPr>
          <w:rFonts w:asciiTheme="minorHAnsi" w:hAnsiTheme="minorHAnsi" w:cstheme="minorHAnsi"/>
          <w:i/>
          <w:iCs/>
        </w:rPr>
        <w:t>International Journal of Coal Geology</w:t>
      </w:r>
      <w:r w:rsidRPr="00C24D02">
        <w:rPr>
          <w:rFonts w:asciiTheme="minorHAnsi" w:hAnsiTheme="minorHAnsi" w:cstheme="minorHAnsi"/>
        </w:rPr>
        <w:t xml:space="preserve">. 2023, roč. 264, č. 1. ISSN 0166-5162, v rámci Hodnocení vybraných výsledků v Modulu 1 s odůvodněním, že výsledek není přímo přístupný a nebyl předložen v podobě umožňující odborné posouzení. </w:t>
      </w:r>
    </w:p>
    <w:p w14:paraId="55E6F3F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Domníváme se, že k hodnocení došlo na základě nedorozumění. Plný text výsledku byl přiložen ve formátu PDF a zároveň umístěn na online úložiště, ke kterému měli hodnotitelé přístup. Jsme si vědomi, že článek není veden jako Open Access a na stránkách vydavatele je dostupný pouze za poplatek. Z tohoto důvodu jej nemůžeme veřejně zpřístupnit bez porušení publikačních podmínek. </w:t>
      </w:r>
    </w:p>
    <w:p w14:paraId="182AE7F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V rámci hodnocení jsme proto zvolili formu zabezpečeného úložiště, kde byl plný text dostupný pro účely odborného posouzení. Věříme, že výsledek byl dostupný v souladu s požadavky hodnocení a že odborné posouzení bylo možné. </w:t>
      </w:r>
    </w:p>
    <w:p w14:paraId="4112756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Pro úplnost přikládáme opět plný text výsledku ve formátu PDF. </w:t>
      </w:r>
    </w:p>
    <w:p w14:paraId="7C2FD05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Přiložený soubor: VŠB-TUO_HGF_Mineralogy of the coal waste dumps_příloha-fulltext </w:t>
      </w:r>
    </w:p>
    <w:p w14:paraId="5159134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Po přezkoumání odvolání i přiložené dokumentace bylo ověřeno, že plný text výsledku nebyl panelu zpřístupněn v souladu s pravidly Modulu 1. V popisu výsledku je uveden odkaz na komerční databázi ScienceDirect, která je dostupná pouze na základě předplatného. Přestože autoři deklarují, že plný text byl umístěn na zabezpečeném úložišti, nebylo prokázáno, že tento dokument byl hodnotitelům skutečně dostupný v době posuzování. Pravidla jednoznačně vyžadují, aby byl předložen plný text výsledku v podobě umožňující přímé odborné posouzení, tedy bez nutnosti předplatného nebo dalších </w:t>
      </w:r>
      <w:r w:rsidRPr="00C24D02">
        <w:rPr>
          <w:rFonts w:asciiTheme="minorHAnsi" w:hAnsiTheme="minorHAnsi" w:cstheme="minorHAnsi"/>
        </w:rPr>
        <w:lastRenderedPageBreak/>
        <w:t>technických omezení. Nebyly tedy splněny povinné náležitosti pro řádné hodnocení výsledku. Panel z výše uvedených důvodů potvrzuje původní hodnocení.</w:t>
      </w:r>
    </w:p>
    <w:p w14:paraId="6144FA3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2E40A42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
        </w:rPr>
        <w:t xml:space="preserve"> </w:t>
      </w:r>
      <w:r w:rsidRPr="00C24D02">
        <w:rPr>
          <w:rFonts w:asciiTheme="minorHAnsi" w:hAnsiTheme="minorHAnsi" w:cstheme="minorHAnsi"/>
        </w:rPr>
        <w:t>Při hodnocení garant postupoval dle oddílů:</w:t>
      </w:r>
    </w:p>
    <w:p w14:paraId="00E6CD55" w14:textId="77777777" w:rsidR="00317816" w:rsidRPr="00C24D02" w:rsidRDefault="00317816" w:rsidP="00317816">
      <w:pPr>
        <w:spacing w:before="240" w:after="144" w:line="360" w:lineRule="auto"/>
        <w:jc w:val="both"/>
        <w:rPr>
          <w:rFonts w:asciiTheme="minorHAnsi" w:hAnsiTheme="minorHAnsi" w:cstheme="minorHAnsi"/>
          <w:b/>
          <w:bCs/>
        </w:rPr>
      </w:pPr>
      <w:r w:rsidRPr="00C24D02">
        <w:rPr>
          <w:rFonts w:asciiTheme="minorHAnsi" w:hAnsiTheme="minorHAnsi" w:cstheme="minorHAnsi"/>
          <w:b/>
          <w:bCs/>
        </w:rPr>
        <w:t xml:space="preserve">4.2 Zajištění podkladů pro hodnocení vybraných výsledků, </w:t>
      </w:r>
      <w:r w:rsidRPr="00C24D02">
        <w:rPr>
          <w:rFonts w:asciiTheme="minorHAnsi" w:hAnsiTheme="minorHAnsi" w:cstheme="minorHAnsi"/>
        </w:rPr>
        <w:t>písmene a) Postupu</w:t>
      </w:r>
      <w:r w:rsidRPr="00C24D02">
        <w:rPr>
          <w:rStyle w:val="Znakapoznpodarou"/>
          <w:rFonts w:asciiTheme="minorHAnsi" w:eastAsiaTheme="majorEastAsia" w:hAnsiTheme="minorHAnsi" w:cstheme="minorHAnsi"/>
        </w:rPr>
        <w:footnoteReference w:id="148"/>
      </w:r>
      <w:r w:rsidRPr="00C24D02">
        <w:rPr>
          <w:rFonts w:asciiTheme="minorHAnsi" w:hAnsiTheme="minorHAnsi" w:cstheme="minorHAnsi"/>
        </w:rPr>
        <w:t xml:space="preserve">, ve kterém je uvedeno: </w:t>
      </w:r>
      <w:r w:rsidRPr="00C24D02">
        <w:rPr>
          <w:rFonts w:asciiTheme="minorHAnsi" w:hAnsiTheme="minorHAnsi" w:cstheme="minorHAnsi"/>
          <w:i/>
          <w:iCs/>
        </w:rPr>
        <w:t>„Do hodnocení vybraných výsledků mohou být zařazeny pouze výsledky uvedené v RIV. Do hodnocení se předkládá vždy plný text daného výsledku (např. celá kniha u výsledku druhu B, celá kapitola včetně údajů identifikujících knihu u druhu výsledku C, celá metodika a nejen její osvědčení u výsledku druhu NmetS atd.). U výsledků, kde je plný text zveřejněn na úložišti výzkumné organizace či jiném úložišti, musí být výsledek veřejně přístupný (nesmí být na heslo nebo přístupný jen po zaplacení poplatku apod. a musí jít o odkaz na daný výsledek, tj. nikoliv na knihovnu apod., kde je možné ho najít). „</w:t>
      </w:r>
      <w:r w:rsidRPr="00C24D02">
        <w:rPr>
          <w:rFonts w:asciiTheme="minorHAnsi" w:hAnsiTheme="minorHAnsi" w:cstheme="minorHAnsi"/>
          <w:b/>
          <w:bCs/>
        </w:rPr>
        <w:t xml:space="preserve"> </w:t>
      </w:r>
    </w:p>
    <w:p w14:paraId="315FE2D6" w14:textId="77777777" w:rsidR="00317816" w:rsidRPr="00C24D02" w:rsidRDefault="00317816" w:rsidP="00317816">
      <w:pPr>
        <w:spacing w:before="240" w:after="144" w:line="360" w:lineRule="auto"/>
        <w:jc w:val="both"/>
        <w:rPr>
          <w:rFonts w:asciiTheme="minorHAnsi" w:hAnsiTheme="minorHAnsi" w:cstheme="minorHAnsi"/>
          <w:b/>
          <w:strike/>
          <w:u w:val="single"/>
        </w:rPr>
      </w:pPr>
      <w:r w:rsidRPr="00C24D02">
        <w:rPr>
          <w:rFonts w:asciiTheme="minorHAnsi" w:hAnsiTheme="minorHAnsi" w:cstheme="minorHAnsi"/>
        </w:rPr>
        <w:t xml:space="preserve"> </w:t>
      </w:r>
      <w:r w:rsidRPr="00C24D02">
        <w:rPr>
          <w:rFonts w:asciiTheme="minorHAnsi" w:hAnsiTheme="minorHAnsi" w:cstheme="minorHAnsi"/>
          <w:b/>
          <w:bCs/>
        </w:rPr>
        <w:t>4.2.4 Zpřístupnění výsledků</w:t>
      </w:r>
      <w:r w:rsidRPr="00C24D02">
        <w:rPr>
          <w:rFonts w:asciiTheme="minorHAnsi" w:hAnsiTheme="minorHAnsi" w:cstheme="minorHAnsi"/>
        </w:rPr>
        <w:t>, písmene a), Postupu</w:t>
      </w:r>
      <w:r w:rsidRPr="00C24D02">
        <w:rPr>
          <w:rStyle w:val="Znakapoznpodarou"/>
          <w:rFonts w:asciiTheme="minorHAnsi" w:eastAsiaTheme="majorEastAsia" w:hAnsiTheme="minorHAnsi" w:cstheme="minorHAnsi"/>
        </w:rPr>
        <w:footnoteReference w:id="149"/>
      </w:r>
      <w:r w:rsidRPr="00C24D02">
        <w:rPr>
          <w:rFonts w:asciiTheme="minorHAnsi" w:hAnsiTheme="minorHAnsi" w:cstheme="minorHAnsi"/>
        </w:rPr>
        <w:t>, ve kterém je uvedeno: „</w:t>
      </w:r>
      <w:r w:rsidRPr="00C24D02">
        <w:rPr>
          <w:rFonts w:asciiTheme="minorHAnsi" w:hAnsiTheme="minorHAnsi" w:cstheme="minorHAnsi"/>
          <w:i/>
          <w:iCs/>
        </w:rPr>
        <w:t>Výzkumná organizace zajistí posouzení vybraných výsledků tak, že je vloží v elektronické podobě do aplikace pro sběr vybraných výsledků. V případě výsledků, které nelze z jejich povahy takto předložit, vkládá výzkumná organizace příslušnou dokumentaci popisující vybraný výsledek a další podpůrné informace. Místo souboru s výsledkem je možné vložit odkaz na úložiště, kde je tento soubor nahrán, nesmí se však jednat o úložiště, které je zpoplatněné (např. JSTOR).“</w:t>
      </w:r>
    </w:p>
    <w:p w14:paraId="51620356" w14:textId="2E94FDCC"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 hodnocení.</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1BDF792" w14:textId="77777777" w:rsidTr="003D1A59">
        <w:tc>
          <w:tcPr>
            <w:tcW w:w="2405" w:type="dxa"/>
          </w:tcPr>
          <w:p w14:paraId="3826DCD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5F34C2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VŠB-TUO - IT4INNOVATIONS</w:t>
            </w:r>
          </w:p>
        </w:tc>
      </w:tr>
      <w:tr w:rsidR="00317816" w:rsidRPr="00C24D02" w14:paraId="6F104C7F" w14:textId="77777777" w:rsidTr="003D1A59">
        <w:tc>
          <w:tcPr>
            <w:tcW w:w="2405" w:type="dxa"/>
          </w:tcPr>
          <w:p w14:paraId="0FCF6FB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3FE550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192541418</w:t>
            </w:r>
          </w:p>
        </w:tc>
      </w:tr>
      <w:tr w:rsidR="00317816" w:rsidRPr="00C24D02" w14:paraId="6A2FA3B7" w14:textId="77777777" w:rsidTr="003D1A59">
        <w:trPr>
          <w:trHeight w:val="741"/>
        </w:trPr>
        <w:tc>
          <w:tcPr>
            <w:tcW w:w="2405" w:type="dxa"/>
          </w:tcPr>
          <w:p w14:paraId="5F53A05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Název</w:t>
            </w:r>
          </w:p>
        </w:tc>
        <w:tc>
          <w:tcPr>
            <w:tcW w:w="6378" w:type="dxa"/>
          </w:tcPr>
          <w:p w14:paraId="263C164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Webové rozhraní platformy LEXIS pro spouštění komplexních výpočtů a distribuovaný management dat na superpočítačích - LEXIS Portal v2</w:t>
            </w:r>
            <w:bookmarkStart w:id="55" w:name="_Hlk218605736"/>
            <w:bookmarkEnd w:id="55"/>
          </w:p>
        </w:tc>
      </w:tr>
      <w:tr w:rsidR="00317816" w:rsidRPr="00C24D02" w14:paraId="64B2D23E" w14:textId="77777777" w:rsidTr="003D1A59">
        <w:tc>
          <w:tcPr>
            <w:tcW w:w="2405" w:type="dxa"/>
          </w:tcPr>
          <w:p w14:paraId="40A8A25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2068849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1.2.</w:t>
            </w:r>
          </w:p>
        </w:tc>
      </w:tr>
      <w:tr w:rsidR="00317816" w:rsidRPr="00C24D02" w14:paraId="2A714DB4" w14:textId="77777777" w:rsidTr="003D1A59">
        <w:tc>
          <w:tcPr>
            <w:tcW w:w="2405" w:type="dxa"/>
          </w:tcPr>
          <w:p w14:paraId="3B38825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1EE34E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47F6AD6B" w14:textId="77777777" w:rsidTr="003D1A59">
        <w:tc>
          <w:tcPr>
            <w:tcW w:w="2405" w:type="dxa"/>
          </w:tcPr>
          <w:p w14:paraId="57BEB18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50"/>
            </w:r>
            <w:r w:rsidRPr="00C24D02">
              <w:rPr>
                <w:rFonts w:asciiTheme="minorHAnsi" w:eastAsia="Calibri" w:hAnsiTheme="minorHAnsi" w:cstheme="minorHAnsi"/>
              </w:rPr>
              <w:t>)</w:t>
            </w:r>
          </w:p>
        </w:tc>
        <w:tc>
          <w:tcPr>
            <w:tcW w:w="6378" w:type="dxa"/>
          </w:tcPr>
          <w:p w14:paraId="49AE8A2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2/3/-/5</w:t>
            </w:r>
          </w:p>
        </w:tc>
      </w:tr>
      <w:tr w:rsidR="00317816" w:rsidRPr="00C24D02" w14:paraId="46C19737" w14:textId="77777777" w:rsidTr="003D1A59">
        <w:tc>
          <w:tcPr>
            <w:tcW w:w="2405" w:type="dxa"/>
          </w:tcPr>
          <w:p w14:paraId="5D67C50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0FD76C0" w14:textId="77777777" w:rsidR="00317816" w:rsidRPr="00C24D02" w:rsidRDefault="00317816" w:rsidP="003D1A59">
            <w:pPr>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p>
        </w:tc>
      </w:tr>
    </w:tbl>
    <w:p w14:paraId="0BD2EF60" w14:textId="77777777" w:rsidR="00317816" w:rsidRPr="00C24D02" w:rsidRDefault="00317816" w:rsidP="00317816">
      <w:pPr>
        <w:spacing w:after="144" w:line="360" w:lineRule="auto"/>
        <w:rPr>
          <w:rFonts w:asciiTheme="minorHAnsi" w:hAnsiTheme="minorHAnsi" w:cstheme="minorHAnsi"/>
        </w:rPr>
      </w:pPr>
    </w:p>
    <w:p w14:paraId="3635F9E9"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Nejedná se o výzkumný výsledek</w:t>
      </w:r>
    </w:p>
    <w:p w14:paraId="4FC136C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25FA06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Daný výsledek je řešení, které umožňuje snadnou práci se superpočítači napříč Evropou pomocí jednotného grafického rozhraní navrženého tak, aby pokrylo potřeby jak začínajících uživatelů, tak expertů v oblasti HPC. Jedním z nejvýznamnějších přínosů tohoto výsledku je také integrace s významnými poskytovateli identit jako jsou MyAccessID (GÉANT) a B2ACCESS (EUDAT). Uživateli se tak stačí přihlásit jednou pomocí identity své domovské výzkumné instituce a může používat superpočítače dostupné v platformě LEXIS. Tento výsledek současně představuje zásadní nástroj pro budování federativní platformy iniciativy EuroHPC propojující evropské superpočítače, kvantové počítače, AI továrny a datové infrastruktury. </w:t>
      </w:r>
    </w:p>
    <w:p w14:paraId="6998572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Jedná se o původní a unikátní řešení, které je výsledkem výzkumu v oblasti způsobu používání superpočítačových infrastruktur a konvergence s infrastrukturami typu Cloud. Samotné rozhraní reflektuje požadavky různých typů uživatelů napříč různými HPC centry, což ilustruje použití LEXIS Platformy v mezinárodních projektech jako EVEREST a LIGATE. V posledním zmiňovaném projektu byl rovněž realizování případ užití, kdy aplikace z oblasti bio informatiky pro objevování nových léčiv byla spuštěna najednou na 4 výkonných superpočítačích napříč Evropou (LUMI, Karolina, Leonardo, E4 AMD), přičemž jeden z clusterů </w:t>
      </w:r>
      <w:r w:rsidRPr="00C24D02">
        <w:rPr>
          <w:rFonts w:asciiTheme="minorHAnsi" w:hAnsiTheme="minorHAnsi" w:cstheme="minorHAnsi"/>
        </w:rPr>
        <w:lastRenderedPageBreak/>
        <w:t xml:space="preserve">(E4) je provozován jako privátní. Celý tento proces byl spuštěn pomocí webového rozhraní LEXIS Portal, záznam celého procesu je dostupný veřejně na videu: </w:t>
      </w:r>
      <w:hyperlink r:id="rId7">
        <w:r w:rsidRPr="00C24D02">
          <w:rPr>
            <w:rStyle w:val="Hypertextovodkaz"/>
            <w:rFonts w:asciiTheme="minorHAnsi" w:hAnsiTheme="minorHAnsi" w:cstheme="minorHAnsi"/>
          </w:rPr>
          <w:t>https://www.youtube.com/watch?v=_Hi3O_FchS0</w:t>
        </w:r>
      </w:hyperlink>
    </w:p>
    <w:p w14:paraId="1454F3B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Závěr </w:t>
      </w:r>
    </w:p>
    <w:p w14:paraId="1A16D7A7"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Na základě výše uvedených skutečností, předložených statistik a argumentů autorský tým podává odvolání a žádá o přehodnocení udělené známky. Předložené podklady zejména zdůrazňují mezinárodní dopad, unikátnost a inovativnost předkládaného výsledku, který je jednou z klíčových ingrediencí k budování výše uvedené federativní platformy integrující EuroHPC superpočítače, kvantové počítače, AI továrny a datové zdroje. Děkujeme za zvážení naší žádosti a jsme připraveni poskytnout veškeré doplňující informace či upřesnění, které by mohly přispět k objektivnímu posouzení tohoto odvolání.</w:t>
      </w:r>
    </w:p>
    <w:p w14:paraId="795BD42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Námitka předkládá řadu příkladů použití LEXIS Portal v2 napříč Evropou, integrované s federovanými identitami (MyAccessID, B2ACCESS) a široce využívané v mezinárodních projektech. Neuvádí však žádný argument, který by obhájil, že se vůbec jedná o výzkumný výsledek ve smyslu tvůrčí a systematické činnosti uskutečňované s cílem rozšířit poznání a nalézt nové aplikace dosavadního poznání (viz např. Frascati Manual 2015, OECD, kap. 2.2, odst. 2.5). Předložený výsledek je bezesporu velmi užitečný a má dopad na budování výzkumné infrastruktury, ale nesplňuje prvek rozšíření poznání nebo užití poznání novým způsobem, a tedy není reálně výzkumným výsledkem ve smyslu hodnocení VaVI. Odborný panel setrvává na svém původním rozhodnutí ohledně hodnocení výsledku.</w:t>
      </w:r>
    </w:p>
    <w:p w14:paraId="52E75FC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1152D76D"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bCs/>
        </w:rPr>
        <w:t>bez vyjádření.</w:t>
      </w:r>
    </w:p>
    <w:p w14:paraId="6E4AAEFF" w14:textId="24D957F3"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částečně souhlasí s argumenty předkládající výzkumné organizace a navrhuje vrátit výsledek do hodnocení. Nové hodnocení přitom musí být argumentačně v souladu s kritériem, ke kterému je výsledek přihlášen (Společenská relevance).</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D5F4F17" w14:textId="77777777" w:rsidTr="003D1A59">
        <w:tc>
          <w:tcPr>
            <w:tcW w:w="2405" w:type="dxa"/>
          </w:tcPr>
          <w:p w14:paraId="42285EA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21C4FE5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Západočeská univerzita v Plzni -Fakulta aplikovaných věd</w:t>
            </w:r>
          </w:p>
        </w:tc>
      </w:tr>
      <w:tr w:rsidR="00317816" w:rsidRPr="00C24D02" w14:paraId="779AE577" w14:textId="77777777" w:rsidTr="003D1A59">
        <w:tc>
          <w:tcPr>
            <w:tcW w:w="2405" w:type="dxa"/>
          </w:tcPr>
          <w:p w14:paraId="6C69F14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37594AE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192562696</w:t>
            </w:r>
          </w:p>
        </w:tc>
      </w:tr>
      <w:tr w:rsidR="00317816" w:rsidRPr="00C24D02" w14:paraId="1E9B1170" w14:textId="77777777" w:rsidTr="003D1A59">
        <w:trPr>
          <w:trHeight w:val="741"/>
        </w:trPr>
        <w:tc>
          <w:tcPr>
            <w:tcW w:w="2405" w:type="dxa"/>
          </w:tcPr>
          <w:p w14:paraId="0C6201D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Název</w:t>
            </w:r>
          </w:p>
        </w:tc>
        <w:tc>
          <w:tcPr>
            <w:tcW w:w="6378" w:type="dxa"/>
          </w:tcPr>
          <w:p w14:paraId="26EE4A0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Digitální otisk hlasu Karla Gotta</w:t>
            </w:r>
          </w:p>
        </w:tc>
      </w:tr>
      <w:tr w:rsidR="00317816" w:rsidRPr="00C24D02" w14:paraId="2C2B2B37" w14:textId="77777777" w:rsidTr="003D1A59">
        <w:tc>
          <w:tcPr>
            <w:tcW w:w="2405" w:type="dxa"/>
          </w:tcPr>
          <w:p w14:paraId="3DF8CB2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C97873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2.2.</w:t>
            </w:r>
          </w:p>
        </w:tc>
      </w:tr>
      <w:tr w:rsidR="00317816" w:rsidRPr="00C24D02" w14:paraId="62B21069" w14:textId="77777777" w:rsidTr="003D1A59">
        <w:tc>
          <w:tcPr>
            <w:tcW w:w="2405" w:type="dxa"/>
          </w:tcPr>
          <w:p w14:paraId="0F25957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2FE4418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5082200D" w14:textId="77777777" w:rsidTr="003D1A59">
        <w:tc>
          <w:tcPr>
            <w:tcW w:w="2405" w:type="dxa"/>
          </w:tcPr>
          <w:p w14:paraId="642C737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51"/>
            </w:r>
            <w:r w:rsidRPr="00C24D02">
              <w:rPr>
                <w:rFonts w:asciiTheme="minorHAnsi" w:eastAsia="Calibri" w:hAnsiTheme="minorHAnsi" w:cstheme="minorHAnsi"/>
              </w:rPr>
              <w:t>)</w:t>
            </w:r>
          </w:p>
        </w:tc>
        <w:tc>
          <w:tcPr>
            <w:tcW w:w="6378" w:type="dxa"/>
          </w:tcPr>
          <w:p w14:paraId="1856AEF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2/4/-/3</w:t>
            </w:r>
          </w:p>
        </w:tc>
      </w:tr>
      <w:tr w:rsidR="00317816" w:rsidRPr="00C24D02" w14:paraId="6A8A7A75" w14:textId="77777777" w:rsidTr="003D1A59">
        <w:tc>
          <w:tcPr>
            <w:tcW w:w="2405" w:type="dxa"/>
          </w:tcPr>
          <w:p w14:paraId="2B147E0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C3363DA" w14:textId="77777777" w:rsidR="00317816" w:rsidRPr="00C24D02" w:rsidRDefault="00317816" w:rsidP="003D1A59">
            <w:pPr>
              <w:rPr>
                <w:rFonts w:asciiTheme="minorHAnsi" w:hAnsiTheme="minorHAnsi" w:cstheme="minorHAnsi"/>
              </w:rPr>
            </w:pPr>
            <w:r w:rsidRPr="00C24D02">
              <w:rPr>
                <w:rFonts w:asciiTheme="minorHAnsi" w:eastAsia="Calibri" w:hAnsiTheme="minorHAnsi" w:cstheme="minorHAnsi"/>
                <w:b/>
              </w:rPr>
              <w:t>Námitka byla akceptována, hodnocení upraveno na stupeň 2.</w:t>
            </w:r>
          </w:p>
        </w:tc>
      </w:tr>
    </w:tbl>
    <w:p w14:paraId="5D88D9A8" w14:textId="77777777" w:rsidR="00317816" w:rsidRPr="00C24D02" w:rsidRDefault="00317816" w:rsidP="00317816">
      <w:pPr>
        <w:spacing w:after="144" w:line="360" w:lineRule="auto"/>
        <w:rPr>
          <w:rFonts w:asciiTheme="minorHAnsi" w:hAnsiTheme="minorHAnsi" w:cstheme="minorHAnsi"/>
        </w:rPr>
      </w:pPr>
    </w:p>
    <w:p w14:paraId="6612E53C"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Námitka proti posudku</w:t>
      </w:r>
    </w:p>
    <w:p w14:paraId="7DF11B8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5B9864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Náš výsledek „Digitální otisk hlasu Karla Gotta“ obdržel v souhrnném hodnocení výslednou známku 3, což je průměr ze dvou protichůdných hodnocení – hodnotitel č. 1 udělil známku 2 (vynikající úroveň – excellent), hodnotitel č. 2 udělil známku 4 (průměrná úroveň). V tomto odvolání se vyjadřujeme především k hodnocení hodnotitele č. 2, kdy udělená známka podle nás neodpovídá slovnímu hodnocení, ani skutečným společenským, kulturním i ekonomickým dopadům výsledku, které jsou doloženy v materiálech poskytnutých pro hodnocení. Hodnocení hodnotitele č. 2 je tak podle nás v rozporu s principy hodnocení aplikovaného výzkumu dle Metodiky M17+ (zejména Modul M1 – kritérium Společenská relevance).</w:t>
      </w:r>
    </w:p>
    <w:p w14:paraId="5961E87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Abychom naše stanovisko doložili, uvádíme níže hlavní argumenty:</w:t>
      </w:r>
    </w:p>
    <w:p w14:paraId="1C1F71A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a)</w:t>
      </w:r>
      <w:r w:rsidRPr="00C24D02">
        <w:rPr>
          <w:rFonts w:asciiTheme="minorHAnsi" w:hAnsiTheme="minorHAnsi" w:cstheme="minorHAnsi"/>
        </w:rPr>
        <w:tab/>
        <w:t>Rozpor mezi slovním hodnocením a přidělenou známkou. Hodnotitel č. 2 konstatuje, že „výsledek představuje uplatnění výzkumu v praxi s jasným a doloženým společenským dopadem“ a že „realizace dosáhla mimořádného ohlasu“. Přesto je výsledek hodnocen známkou 4, která podle definice Metodiky M17+ odpovídá výsledku „na průměrné úrovni, jehož využití v praxi přinese dílčí změnu s ekonomickým dopadem na českém trhu nebo dílčí změnu s dopadem na českou společnost“. Tento popis neodpovídá rozsahu dopadů, které jsou doloženy jak v oficiálním potvrzení Českého rozhlasu, tak mediálními a odbornými ohlasy.</w:t>
      </w:r>
    </w:p>
    <w:p w14:paraId="7D56C58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b)</w:t>
      </w:r>
      <w:r w:rsidRPr="00C24D02">
        <w:rPr>
          <w:rFonts w:asciiTheme="minorHAnsi" w:hAnsiTheme="minorHAnsi" w:cstheme="minorHAnsi"/>
        </w:rPr>
        <w:tab/>
        <w:t>Společenský a kulturní dopad. Jak je doloženo v podkladech pro hodnocení, výsledek byl zásadní součástí projektu „GOTT NAVŽDY“, který se stal nejposlouchanějším literárně-dramatickým dílem v historii Českého rozhlasu s více než 1 milionem poslechů. Projekt měl obrovský mediální dosah, stal se nejznámější realizací v oblasti AI v ČR v roce 2023 dle agentury IPSOS a otevřel společenskou debatu o možnostech a etických aspektech využívání AI. Přesto hodnotitel č. 2 takový výsledek označuje za „jednorázovou kulturní iniciativu“. S tímto označením nesouhlasíme, výše uvedený dopad podle nás „jednorázovou kulturní iniciativu“ jednoznačně přesahuje – jde o dlouhodobě rezonující projekt s doloženým mezinárodním přesahem (byl prezentován mj. v rámci Evropské vysílací unie – EBU a popisovaný výsledek byl vydán jako komerční titul Supraphonem). Výsledek tedy podle nás naplňuje definici „významného dopadu na společnost“, jak jej chápe Metodika M17+, včetně vlivu v oblasti kultury, veřejné správy, médií a kvality života.</w:t>
      </w:r>
    </w:p>
    <w:p w14:paraId="04E524B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c)</w:t>
      </w:r>
      <w:r w:rsidRPr="00C24D02">
        <w:rPr>
          <w:rFonts w:asciiTheme="minorHAnsi" w:hAnsiTheme="minorHAnsi" w:cstheme="minorHAnsi"/>
        </w:rPr>
        <w:tab/>
        <w:t>Dlouhodobý výzkumný kontext a aplikační využití. Náš tým se problematikou klonování hlasu zabývá dlouhodobě. Již v projektu „LARYNGO“ byla obdobná technologie úspěšně využívána k navrácení hlasu pacientům po totální laryngektomii. Technologii využily desítky lidí a usnadnila jim návrat do společnosti a „normálního“ života. Nedávno jsme obdobně rekonstruovali hlas akademického malíře Jaroslava Šindeláře, který přišel o možnost mluvit kvůli onkologickému onemocnění. Zároveň o technologii projevují zájem i zahraniční uživatelé – prokazuje to např. případ, kdy jsme rekonstruovali hlas ženě ze Singapuru (anglickou verzi). Výsledek tedy není izolovaným experimentem, ale součástí dlouhodobého výzkumného směru s reálným přínosem pro společnost.</w:t>
      </w:r>
    </w:p>
    <w:p w14:paraId="65BF25D3"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d)</w:t>
      </w:r>
      <w:r w:rsidRPr="00C24D02">
        <w:rPr>
          <w:rFonts w:asciiTheme="minorHAnsi" w:hAnsiTheme="minorHAnsi" w:cstheme="minorHAnsi"/>
        </w:rPr>
        <w:tab/>
        <w:t>Ekonomický a motivační přínos. Úspěšné klonování hlasu má zásadní ekonomický dopad: lidé, kteří by jinak byli vyřazeni z pracovního života, mohou zůstat ekonomicky aktivní. Předkládaný výsledek, navíc realizovaný na veřejně známé osobnosti, má i významný motivační efekt – ukazuje, že námi vytvořená technologie klonování hlasu již dnes dosáhla kvality, která je široce srozumitelná a veřejností akceptovaná.</w:t>
      </w:r>
    </w:p>
    <w:p w14:paraId="711AEE36"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e)</w:t>
      </w:r>
      <w:r w:rsidRPr="00C24D02">
        <w:rPr>
          <w:rFonts w:asciiTheme="minorHAnsi" w:hAnsiTheme="minorHAnsi" w:cstheme="minorHAnsi"/>
        </w:rPr>
        <w:tab/>
        <w:t xml:space="preserve">Soulad s kritérii Metodiky M17+. Podle hodnoticí stupnice M17+ odpovídá výsledek minimálně stupni 2 – vynikající úroveň (excellent), kdy jeho využití přináší významný dopad na společnost a otevírá cestu k jeho uplatnění v oblastech veřejného zájmu. Již nyní má doložený kulturní a společenský dosah (více než 1 milion uživatelů, největší AI projekt roku 2023 v ČR), </w:t>
      </w:r>
      <w:r w:rsidRPr="00C24D02">
        <w:rPr>
          <w:rFonts w:asciiTheme="minorHAnsi" w:hAnsiTheme="minorHAnsi" w:cstheme="minorHAnsi"/>
        </w:rPr>
        <w:lastRenderedPageBreak/>
        <w:t>navíc jasně deklarovaný ekonomicko-sociální potenciál v oblasti zdravotnictví a sociální inkluze.</w:t>
      </w:r>
    </w:p>
    <w:p w14:paraId="3131704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Domníváme se, že výsledek splňuje kritéria významného společenského dopadu, jak je definuje Metodika M17+ pro stupeň 2 při hodnocení podle kritéria společenská relevance (viz M17+ Uživatelská příručka na https://vyzkum.gov.cz/FrontClanek.aspx?idsekce=799796&amp;ad=1&amp;attid=998036). Udělení stupně 4 hodnotitelem č. 2 nepovažujeme za metodicky ani fakticky obhajitelné. </w:t>
      </w:r>
    </w:p>
    <w:p w14:paraId="50ADF5F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Na základě výše uvedeného žádá ZČU o přehodnocení posudku hodnotitele č. 2 na známku 2 (excellent) a zároveň o změnu celkového ohodnocení výsledku na známku 2.</w:t>
      </w:r>
    </w:p>
    <w:p w14:paraId="3CC2D7B5"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S ohledem na bližší vysvětlení kulturního dopadu a nasazení výsledku v praxi doporučuji změnu celkového hodnocení na známku 2.</w:t>
      </w:r>
    </w:p>
    <w:p w14:paraId="19DA0AB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vyhovět a změnit původní hodnocení na stupněm 2.</w:t>
      </w:r>
    </w:p>
    <w:p w14:paraId="5CD96DF6"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 xml:space="preserve">: </w:t>
      </w:r>
      <w:r w:rsidRPr="00C24D02">
        <w:rPr>
          <w:rFonts w:asciiTheme="minorHAnsi" w:hAnsiTheme="minorHAnsi" w:cstheme="minorHAnsi"/>
        </w:rPr>
        <w:t xml:space="preserve">Při hodnocení je nutno postupovat dle oddílu </w:t>
      </w:r>
      <w:r w:rsidRPr="00C24D02">
        <w:rPr>
          <w:rFonts w:asciiTheme="minorHAnsi" w:hAnsiTheme="minorHAnsi" w:cstheme="minorHAnsi"/>
          <w:b/>
          <w:bCs/>
        </w:rPr>
        <w:t>7.2.3 Rozhodování o výsledném zařazení výsledku na hodnoticí škále</w:t>
      </w:r>
      <w:r w:rsidRPr="00C24D02">
        <w:rPr>
          <w:rFonts w:asciiTheme="minorHAnsi" w:hAnsiTheme="minorHAnsi" w:cstheme="minorHAnsi"/>
        </w:rPr>
        <w:t>, písmene c) a d) Postupu</w:t>
      </w:r>
      <w:r w:rsidRPr="00C24D02">
        <w:rPr>
          <w:rStyle w:val="Znakapoznpodarou1"/>
          <w:rFonts w:asciiTheme="minorHAnsi" w:eastAsiaTheme="majorEastAsia" w:hAnsiTheme="minorHAnsi" w:cstheme="minorHAnsi"/>
        </w:rPr>
        <w:footnoteReference w:id="152"/>
      </w:r>
      <w:r w:rsidRPr="00C24D02">
        <w:rPr>
          <w:rFonts w:asciiTheme="minorHAnsi" w:hAnsiTheme="minorHAnsi" w:cstheme="minorHAnsi"/>
        </w:rPr>
        <w:t xml:space="preserve">, ve kterém je uvedeno: </w:t>
      </w:r>
    </w:p>
    <w:p w14:paraId="1C5C56A7" w14:textId="77777777" w:rsidR="00317816" w:rsidRPr="00C24D02" w:rsidRDefault="00317816" w:rsidP="00317816">
      <w:pPr>
        <w:spacing w:before="240" w:after="144" w:line="360" w:lineRule="auto"/>
        <w:jc w:val="both"/>
        <w:rPr>
          <w:rFonts w:asciiTheme="minorHAnsi" w:hAnsiTheme="minorHAnsi" w:cstheme="minorHAnsi"/>
          <w:i/>
          <w:iCs/>
        </w:rPr>
      </w:pPr>
      <w:r w:rsidRPr="00C24D02">
        <w:rPr>
          <w:rFonts w:asciiTheme="minorHAnsi" w:hAnsiTheme="minorHAnsi" w:cstheme="minorHAnsi"/>
          <w:i/>
          <w:iCs/>
        </w:rPr>
        <w:t xml:space="preserve">„ c. V případě, kdy se zařazení výstupu oběma hodnotiteli liší o více než jeden kvalitativní stupeň (např. 2 vs. 4 nebo 1 vs. 3), může být zadáno vypracování posudku třetímu hodnotiteli. Na základě získaných hodnocení se pak přikloní garant hodnocení vybraných výsledků standardně k jednomu z navržených hodnocení. Pokud garant bibliometrické analýzy s navrženým hodnocením nesouhlasí, postupuje se podle bodu d). </w:t>
      </w:r>
    </w:p>
    <w:p w14:paraId="1D7507CE" w14:textId="77777777" w:rsidR="00317816" w:rsidRPr="00C24D02" w:rsidRDefault="00317816" w:rsidP="00317816">
      <w:pPr>
        <w:spacing w:before="240" w:after="144" w:line="360" w:lineRule="auto"/>
        <w:jc w:val="both"/>
        <w:rPr>
          <w:rFonts w:asciiTheme="minorHAnsi" w:hAnsiTheme="minorHAnsi" w:cstheme="minorHAnsi"/>
          <w:i/>
          <w:iCs/>
        </w:rPr>
      </w:pPr>
      <w:r w:rsidRPr="00C24D02">
        <w:rPr>
          <w:rFonts w:asciiTheme="minorHAnsi" w:hAnsiTheme="minorHAnsi" w:cstheme="minorHAnsi"/>
          <w:i/>
          <w:iCs/>
        </w:rPr>
        <w:t>d. Garant hodnocení vybraných výsledků má právo udělit výsledné hodnocení odlišující se o jeden stupeň od rozsahu, který je dán hodnotiteli. Toto rozhodnutí musí zdůvodnit. Pokud garant bibliometrické analýzy s navržením hodnocením nesouhlasí, může navrhnout alternativu. V případě, že oba garanti nedosáhnou konsensu, postoupí své návrhy předsedovi panelu, který se standardně přikloní k jedno“</w:t>
      </w:r>
    </w:p>
    <w:p w14:paraId="2DB93A16"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lastRenderedPageBreak/>
        <w:t>Závěr KHV</w:t>
      </w:r>
      <w:r w:rsidRPr="00C24D02">
        <w:rPr>
          <w:rFonts w:asciiTheme="minorHAnsi" w:hAnsiTheme="minorHAnsi" w:cstheme="minorHAnsi"/>
          <w:b/>
          <w:bCs/>
        </w:rPr>
        <w:t xml:space="preserve">: </w:t>
      </w:r>
      <w:r w:rsidRPr="00C24D02">
        <w:rPr>
          <w:rFonts w:asciiTheme="minorHAnsi" w:hAnsiTheme="minorHAnsi" w:cstheme="minorHAnsi"/>
        </w:rPr>
        <w:t>KHV souhlasí s navrženým hodnocením a vyjádřením odborného panelu a navrhuje původní hodnocení upravit na stupeň 2, jak doporučuje Odborný panel.</w:t>
      </w:r>
    </w:p>
    <w:p w14:paraId="35F62613" w14:textId="77777777" w:rsidR="00317816" w:rsidRPr="00C24D02" w:rsidRDefault="00317816" w:rsidP="00317816">
      <w:pPr>
        <w:spacing w:after="144" w:line="360" w:lineRule="auto"/>
        <w:jc w:val="both"/>
        <w:rPr>
          <w:rFonts w:asciiTheme="minorHAnsi" w:hAnsiTheme="minorHAnsi" w:cstheme="minorHAnsi"/>
        </w:rPr>
      </w:pPr>
    </w:p>
    <w:p w14:paraId="6CE1562D" w14:textId="51604C24" w:rsidR="00317816" w:rsidRPr="00C24D02" w:rsidRDefault="00317816">
      <w:pPr>
        <w:suppressAutoHyphens w:val="0"/>
        <w:spacing w:after="160" w:line="259" w:lineRule="auto"/>
        <w:rPr>
          <w:rFonts w:asciiTheme="minorHAnsi" w:hAnsiTheme="minorHAnsi" w:cstheme="minorHAnsi"/>
        </w:rPr>
      </w:pPr>
      <w:r w:rsidRPr="00C24D02">
        <w:rPr>
          <w:rFonts w:asciiTheme="minorHAnsi" w:hAnsiTheme="minorHAnsi" w:cstheme="minorHAnsi"/>
        </w:rPr>
        <w:br w:type="page"/>
      </w:r>
    </w:p>
    <w:p w14:paraId="078EF360" w14:textId="1A7582FF" w:rsidR="00317816" w:rsidRPr="00C24D02" w:rsidRDefault="00317816" w:rsidP="00704870">
      <w:pPr>
        <w:pStyle w:val="Nadpis1"/>
        <w:numPr>
          <w:ilvl w:val="0"/>
          <w:numId w:val="1"/>
        </w:numPr>
        <w:spacing w:before="480" w:after="480" w:line="360" w:lineRule="auto"/>
        <w:ind w:left="714" w:hanging="357"/>
        <w:rPr>
          <w:rFonts w:asciiTheme="minorHAnsi" w:hAnsiTheme="minorHAnsi" w:cstheme="minorHAnsi"/>
          <w:sz w:val="22"/>
          <w:szCs w:val="22"/>
        </w:rPr>
      </w:pPr>
      <w:bookmarkStart w:id="56" w:name="_Toc221799821"/>
      <w:r w:rsidRPr="00C24D02">
        <w:rPr>
          <w:rFonts w:asciiTheme="minorHAnsi" w:hAnsiTheme="minorHAnsi" w:cstheme="minorHAnsi"/>
          <w:sz w:val="22"/>
          <w:szCs w:val="22"/>
        </w:rPr>
        <w:lastRenderedPageBreak/>
        <w:t>Námitky nepožadující změnu hodnocení</w:t>
      </w:r>
      <w:bookmarkEnd w:id="56"/>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08421C7" w14:textId="77777777" w:rsidTr="003D1A59">
        <w:tc>
          <w:tcPr>
            <w:tcW w:w="2405" w:type="dxa"/>
          </w:tcPr>
          <w:p w14:paraId="121B677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405D25E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Český metrologický institut</w:t>
            </w:r>
          </w:p>
        </w:tc>
      </w:tr>
      <w:tr w:rsidR="00317816" w:rsidRPr="00C24D02" w14:paraId="3458C1D8" w14:textId="77777777" w:rsidTr="003D1A59">
        <w:tc>
          <w:tcPr>
            <w:tcW w:w="2405" w:type="dxa"/>
          </w:tcPr>
          <w:p w14:paraId="7810A9B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324C4DF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192370625</w:t>
            </w:r>
          </w:p>
        </w:tc>
      </w:tr>
      <w:tr w:rsidR="00317816" w:rsidRPr="00C24D02" w14:paraId="21E43924" w14:textId="77777777" w:rsidTr="003D1A59">
        <w:trPr>
          <w:trHeight w:val="741"/>
        </w:trPr>
        <w:tc>
          <w:tcPr>
            <w:tcW w:w="2405" w:type="dxa"/>
          </w:tcPr>
          <w:p w14:paraId="4C115AA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0CEA03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Zkušební etalonové zařízení bezkontaktních měřiček délek</w:t>
            </w:r>
          </w:p>
        </w:tc>
      </w:tr>
      <w:tr w:rsidR="00317816" w:rsidRPr="00C24D02" w14:paraId="231C8180" w14:textId="77777777" w:rsidTr="003D1A59">
        <w:tc>
          <w:tcPr>
            <w:tcW w:w="2405" w:type="dxa"/>
          </w:tcPr>
          <w:p w14:paraId="4B70DC8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43C9786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w:t>
            </w:r>
          </w:p>
        </w:tc>
      </w:tr>
      <w:tr w:rsidR="00317816" w:rsidRPr="00C24D02" w14:paraId="6026CEC1" w14:textId="77777777" w:rsidTr="003D1A59">
        <w:tc>
          <w:tcPr>
            <w:tcW w:w="2405" w:type="dxa"/>
          </w:tcPr>
          <w:p w14:paraId="17A0D7E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1088836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3E5D624C" w14:textId="77777777" w:rsidTr="003D1A59">
        <w:tc>
          <w:tcPr>
            <w:tcW w:w="2405" w:type="dxa"/>
          </w:tcPr>
          <w:p w14:paraId="4BD69A0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53"/>
            </w:r>
            <w:r w:rsidRPr="00C24D02">
              <w:rPr>
                <w:rFonts w:asciiTheme="minorHAnsi" w:eastAsia="Calibri" w:hAnsiTheme="minorHAnsi" w:cstheme="minorHAnsi"/>
              </w:rPr>
              <w:t>)</w:t>
            </w:r>
          </w:p>
        </w:tc>
        <w:tc>
          <w:tcPr>
            <w:tcW w:w="6378" w:type="dxa"/>
          </w:tcPr>
          <w:p w14:paraId="02DEF4A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5/5/-/5</w:t>
            </w:r>
          </w:p>
        </w:tc>
      </w:tr>
      <w:tr w:rsidR="00317816" w:rsidRPr="00C24D02" w14:paraId="4A7932A0" w14:textId="77777777" w:rsidTr="003D1A59">
        <w:tc>
          <w:tcPr>
            <w:tcW w:w="2405" w:type="dxa"/>
          </w:tcPr>
          <w:p w14:paraId="1F90C21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0F730450"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5.</w:t>
            </w:r>
          </w:p>
        </w:tc>
      </w:tr>
    </w:tbl>
    <w:p w14:paraId="2697FB7E" w14:textId="77777777" w:rsidR="00317816" w:rsidRPr="00C24D02" w:rsidRDefault="00317816" w:rsidP="00317816">
      <w:pPr>
        <w:spacing w:after="144" w:line="360" w:lineRule="auto"/>
        <w:rPr>
          <w:rFonts w:asciiTheme="minorHAnsi" w:hAnsiTheme="minorHAnsi" w:cstheme="minorHAnsi"/>
        </w:rPr>
      </w:pPr>
    </w:p>
    <w:p w14:paraId="2F97E2AC"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Doplnění informací</w:t>
      </w:r>
    </w:p>
    <w:p w14:paraId="70DFA86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F4CD2B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Rád bych doplnil několik vysvětlujících informací k výsledku „Zkušební etalonové zařízení bezkontaktních měřiček délek“, které mohou objasnit jeho společenský a odborný význam, přestože některé přímé ekonomické doklady nebyly součástí dokumentace. </w:t>
      </w:r>
    </w:p>
    <w:p w14:paraId="513D433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Odborný přínos a inovace </w:t>
      </w:r>
    </w:p>
    <w:p w14:paraId="3649B6A2"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Vyvinuté etalonové zařízení představuje unikátní referenční nástroj pro kalibraci vysokorychlostních bezkontaktních měřičů délek. Tato zařízení se využívají v řadě průmyslových odvětví, zejména při výrobě vinutých materiálů, kabelů a netkaných textilií. Etalon byl navržen s důrazem na stabilitu měření, sledovatelnost a přesnost, které umožňují zajištění metrologické návaznosti nejen v rámci ČMI, ale i u průmyslových subjektů. </w:t>
      </w:r>
    </w:p>
    <w:p w14:paraId="44F02A2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Společenská relevance </w:t>
      </w:r>
    </w:p>
    <w:p w14:paraId="4C8E416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 xml:space="preserve">Výsledek významně přispěl ke zvýšení kvality a konkurenceschopnosti českého průmyslu. Díky jeho zavedení: Bylo akreditovaně kalibrováno 15 laserových měřidel používaných v průmyslové výrobě. Etalon byl převzat a používán na třech územních pracovištích ČMI (Plzeň, Jihlava, Kroměříž), což umožnilo standardizaci a rozšíření metrologické návaznosti napříč republikou. Výsledek posílil spolehlivost a důvěryhodnost kalibračních postupů, které jsou klíčové pro kvalitu výrobků, bezpečnost a dodržování mezinárodních norem. I když nelze ekonomický dopad kvantifikovat formou konkrétních smluv, praktické využití výsledku je prokazatelné a měřitelné metrologickou praxí. Právě tato implementace do systému národní metrologické návaznosti a zajištění přesnosti v průmyslové výrobě jsou společenským dopadem samy o sobě. </w:t>
      </w:r>
    </w:p>
    <w:p w14:paraId="08701CC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Institucionální přínos </w:t>
      </w:r>
    </w:p>
    <w:p w14:paraId="500DE58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Pro Český metrologický institut výsledek znamenal rozšíření a posílení kompetencí v oblasti bezkontaktního měření délek, zajištění návaznosti dalších etalonů v rámci jiných laboratoří, zefektivnění kalibračních procesů v praxi. Tímto způsobem zařízení napomohlo nejen interní spolupráci mezi pracovišti ČMI, ale i rozvoji know-how, které je využitelné při dalším vývoji etalonových zařízení a metodik. </w:t>
      </w:r>
    </w:p>
    <w:p w14:paraId="402A311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Přestože nejsou doloženy přímé smlouvy s výrobními podniky, výsledek má zjevný odborný, systémový a společenský přínos. Posiluje technickou infrastrukturu metrologie v České republice, zlepšuje kvalitu měření v průmyslu a zajišťuje dlouhodobou udržitelnost metrologických služeb poskytovaných ČMI i dalším subjektům. </w:t>
      </w:r>
    </w:p>
    <w:p w14:paraId="2DAA5E8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Námitka má charakter doplňujících informací. Výsledek není možno znovu hodnotit na základě dodatečně doplněných informací.</w:t>
      </w:r>
    </w:p>
    <w:p w14:paraId="7BF84D35"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7FB6DBFE" w14:textId="77777777" w:rsidR="00317816" w:rsidRPr="00C24D02" w:rsidRDefault="00317816" w:rsidP="00317816">
      <w:pPr>
        <w:spacing w:before="240" w:after="144" w:line="360" w:lineRule="auto"/>
        <w:jc w:val="both"/>
        <w:rPr>
          <w:rFonts w:asciiTheme="minorHAnsi" w:hAnsiTheme="minorHAnsi" w:cstheme="minorHAnsi"/>
          <w:b/>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2522954A"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platných pravidel hodnocení.</w:t>
      </w:r>
    </w:p>
    <w:p w14:paraId="3AC5EEA8" w14:textId="77777777" w:rsidR="00317816" w:rsidRPr="00C24D02" w:rsidRDefault="00317816" w:rsidP="00317816">
      <w:pPr>
        <w:pStyle w:val="Nadpis1"/>
        <w:spacing w:after="144" w:line="360" w:lineRule="auto"/>
        <w:rPr>
          <w:rFonts w:asciiTheme="minorHAnsi" w:hAnsiTheme="minorHAnsi" w:cstheme="minorHAnsi"/>
          <w:sz w:val="22"/>
          <w:szCs w:val="22"/>
        </w:rPr>
      </w:pP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9DC7D51" w14:textId="77777777" w:rsidTr="003D1A59">
        <w:tc>
          <w:tcPr>
            <w:tcW w:w="2405" w:type="dxa"/>
          </w:tcPr>
          <w:p w14:paraId="5661746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3BB774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Český metrologický institut</w:t>
            </w:r>
          </w:p>
        </w:tc>
      </w:tr>
      <w:tr w:rsidR="00317816" w:rsidRPr="00C24D02" w14:paraId="76C1AAE5" w14:textId="77777777" w:rsidTr="003D1A59">
        <w:tc>
          <w:tcPr>
            <w:tcW w:w="2405" w:type="dxa"/>
          </w:tcPr>
          <w:p w14:paraId="1AC07D0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589E92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192533123</w:t>
            </w:r>
          </w:p>
        </w:tc>
      </w:tr>
      <w:tr w:rsidR="00317816" w:rsidRPr="00C24D02" w14:paraId="32DFBCD5" w14:textId="77777777" w:rsidTr="003D1A59">
        <w:trPr>
          <w:trHeight w:val="741"/>
        </w:trPr>
        <w:tc>
          <w:tcPr>
            <w:tcW w:w="2405" w:type="dxa"/>
          </w:tcPr>
          <w:p w14:paraId="7EC6027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0D5938A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High-speed SPM data processing for Gwyddion</w:t>
            </w:r>
          </w:p>
        </w:tc>
      </w:tr>
      <w:tr w:rsidR="00317816" w:rsidRPr="00C24D02" w14:paraId="24462C3A" w14:textId="77777777" w:rsidTr="003D1A59">
        <w:tc>
          <w:tcPr>
            <w:tcW w:w="2405" w:type="dxa"/>
          </w:tcPr>
          <w:p w14:paraId="4C5C008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08C5FD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1.2.</w:t>
            </w:r>
          </w:p>
        </w:tc>
      </w:tr>
      <w:tr w:rsidR="00317816" w:rsidRPr="00C24D02" w14:paraId="07F1F9DD" w14:textId="77777777" w:rsidTr="003D1A59">
        <w:tc>
          <w:tcPr>
            <w:tcW w:w="2405" w:type="dxa"/>
          </w:tcPr>
          <w:p w14:paraId="331B747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3F5055A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5E9903D0" w14:textId="77777777" w:rsidTr="003D1A59">
        <w:tc>
          <w:tcPr>
            <w:tcW w:w="2405" w:type="dxa"/>
          </w:tcPr>
          <w:p w14:paraId="690B528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54"/>
            </w:r>
            <w:r w:rsidRPr="00C24D02">
              <w:rPr>
                <w:rFonts w:asciiTheme="minorHAnsi" w:eastAsia="Calibri" w:hAnsiTheme="minorHAnsi" w:cstheme="minorHAnsi"/>
              </w:rPr>
              <w:t>)</w:t>
            </w:r>
          </w:p>
        </w:tc>
        <w:tc>
          <w:tcPr>
            <w:tcW w:w="6378" w:type="dxa"/>
          </w:tcPr>
          <w:p w14:paraId="7269C43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1/4/4/4</w:t>
            </w:r>
          </w:p>
        </w:tc>
      </w:tr>
      <w:tr w:rsidR="00317816" w:rsidRPr="00C24D02" w14:paraId="439187A0" w14:textId="77777777" w:rsidTr="003D1A59">
        <w:tc>
          <w:tcPr>
            <w:tcW w:w="2405" w:type="dxa"/>
          </w:tcPr>
          <w:p w14:paraId="2F34256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E8B5D91"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410CDA05" w14:textId="77777777" w:rsidR="00317816" w:rsidRPr="00C24D02" w:rsidRDefault="00317816" w:rsidP="00317816">
      <w:pPr>
        <w:spacing w:after="144" w:line="360" w:lineRule="auto"/>
        <w:rPr>
          <w:rFonts w:asciiTheme="minorHAnsi" w:hAnsiTheme="minorHAnsi" w:cstheme="minorHAnsi"/>
        </w:rPr>
      </w:pPr>
    </w:p>
    <w:p w14:paraId="2514C3F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Doplnění informací</w:t>
      </w:r>
    </w:p>
    <w:p w14:paraId="28ADAB0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986E10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Algoritmy pro zpracování vysokorychlostních dat implementované ve verzi 2.64 programu Gwyddion nepředstavují pouze soubor již známých metod ani výsledek pouhého inkrementálního vývoje. V průběhu téměř jednoho roku intenzivního vývoje (moduly pro zpracování vysokorychlostních dat byly postupně rozšiřovány již od verze 2.62) byly realizovány následující klíčové změny a inovace: </w:t>
      </w:r>
    </w:p>
    <w:p w14:paraId="367430F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Vytvoření nové koncepce zpracování vysokorychlostních dat, založené na objemové reprezentaci dat. Tato koncepce vznikla na základě odborných konzultací a diskusí s předními pracovišti v dané oblasti (EPFL, NPL, VTT). </w:t>
      </w:r>
    </w:p>
    <w:p w14:paraId="228883DA"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Implementace základních funkcí pro zpracování dat, které vycházejí z obecně známých metod, avšak dosud nebyly v obdobném softwaru pro zpracování AFM dat implementovány. </w:t>
      </w:r>
    </w:p>
    <w:p w14:paraId="6A36F42C"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Vývoj zcela nových algoritmů, například pro analýzu driftu nebo pro srovnávání a spojování dat při měřeních na velkých plochách. Tyto algoritmy jsou detailně popsány v </w:t>
      </w:r>
      <w:r w:rsidRPr="00C24D02">
        <w:rPr>
          <w:rFonts w:asciiTheme="minorHAnsi" w:hAnsiTheme="minorHAnsi" w:cstheme="minorHAnsi"/>
        </w:rPr>
        <w:lastRenderedPageBreak/>
        <w:t xml:space="preserve">publikaci: Petr Klapetek et al. (2024): Measurement Science and Technology 35, 125026. DOI: 10.1088/1361-6501/ad7a13. </w:t>
      </w:r>
    </w:p>
    <w:p w14:paraId="59421BB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Implementace pokročilých statistických algoritmů pro vysokorychlostní data, vycházejících z nedávno publikovaných metod, např. v oblasti lokalizační mikroskopie. Tyto algoritmy byly vyvinuty ve spolupráci s University of Leeds a doposud byly dostupné pouze ve velmi obecné podobě v publikacích či specializovaných jednoúčelových programech. </w:t>
      </w:r>
    </w:p>
    <w:p w14:paraId="582F271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Ačkoliv byl v některých případech uveden odkaz na hlavní web programu, což mohlo být do určité míry zavádějící, cílem bylo poukázat na skutečnost, že vývoj algoritmů nadále pokračuje a jsou průběžně doplňovány a upravovány i v novějších verzích. Detailní přehled změn a rozsahu prací v jednotlivých verzích je dostupný zde: https://gwyddion.net/news.php?#v2.64. </w:t>
      </w:r>
    </w:p>
    <w:p w14:paraId="23FC23E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Po rozšíření o novou koncepci zpracování vysokorychlostních dat je program Gwyddion schopen načítat, předzpracovávat a společně vyhodnocovat stovky měření získaných v rámci vysokorychlostní mikroskopie. Nabízí širokou škálu algoritmů zaměřených na různé typy měření, což z něj činí jediný volně dostupný nástroj tohoto typu – a to včetně srovnání s komerčními softwarovými řešeními, která daný typ měření dosud nepodporují. </w:t>
      </w:r>
    </w:p>
    <w:p w14:paraId="1AFA40B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Oddělit počet stažení programu podle důvodu jeho využití (vysokorychlostní moduly versus jiné účely) není možné. Program je však dlouhodobě stahován přibližně 1 000krát týdně. Indikátorem rostoucího zájmu vědecké komunity o zpracování vysokorychlostních dat jsou také nově navázané mezinárodní spolupráce, mimo jiné s University of Leeds, University of Sheffield, EPFL a CEITEC MU. </w:t>
      </w:r>
    </w:p>
    <w:p w14:paraId="0D927B1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 xml:space="preserve">Stanovisko garanta: </w:t>
      </w:r>
      <w:r w:rsidRPr="00C24D02">
        <w:rPr>
          <w:rFonts w:asciiTheme="minorHAnsi" w:hAnsiTheme="minorHAnsi" w:cstheme="minorHAnsi"/>
        </w:rPr>
        <w:t>Odborný panel oceňuje zpětnou vazbu a doplňující informace k výsledku. Zaslané doplnění zásadním způsobem nemění pohled na výsledek z hlediska hodnoceného kritéria (přínos poznání), neboť nepřináší konkrétní informace a data, která by konkrétním způsobem doložila, jaká je podstata nové koncepce zpracování vysokorychlostních dat, jaké zcela nové algoritmy byly vyvinuty, jaké pokročilé statistické metody byly implementovány, atd.</w:t>
      </w:r>
    </w:p>
    <w:p w14:paraId="4789C2F4"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4.</w:t>
      </w:r>
    </w:p>
    <w:p w14:paraId="0B08E60F" w14:textId="77777777" w:rsidR="00317816" w:rsidRPr="00C24D02" w:rsidRDefault="00317816" w:rsidP="00317816">
      <w:pPr>
        <w:spacing w:before="240" w:after="144" w:line="360" w:lineRule="auto"/>
        <w:jc w:val="both"/>
        <w:rPr>
          <w:rFonts w:asciiTheme="minorHAnsi" w:hAnsiTheme="minorHAnsi" w:cstheme="minorHAnsi"/>
          <w:b/>
          <w:u w:val="single"/>
        </w:rPr>
      </w:pPr>
      <w:r w:rsidRPr="00C24D02">
        <w:rPr>
          <w:rFonts w:asciiTheme="minorHAnsi" w:hAnsiTheme="minorHAnsi" w:cstheme="minorHAnsi"/>
          <w:b/>
          <w:u w:val="single"/>
        </w:rPr>
        <w:lastRenderedPageBreak/>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bez vyjádření.</w:t>
      </w:r>
    </w:p>
    <w:p w14:paraId="7B0A7026" w14:textId="410FBAC7" w:rsidR="00317816" w:rsidRPr="00D054AE" w:rsidRDefault="00317816" w:rsidP="00D054AE">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bere na vědomí argumenty předkladatele. Ten však nepožaduje změnu hodnocení, které je tak zachováno.</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FEEFF8F" w14:textId="77777777" w:rsidTr="003D1A59">
        <w:tc>
          <w:tcPr>
            <w:tcW w:w="2405" w:type="dxa"/>
          </w:tcPr>
          <w:p w14:paraId="5A7D5E6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69BBEA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Univerzita Karlova v Praze</w:t>
            </w:r>
          </w:p>
        </w:tc>
      </w:tr>
      <w:tr w:rsidR="00317816" w:rsidRPr="00C24D02" w14:paraId="4A3C5496" w14:textId="77777777" w:rsidTr="003D1A59">
        <w:tc>
          <w:tcPr>
            <w:tcW w:w="2405" w:type="dxa"/>
          </w:tcPr>
          <w:p w14:paraId="3ECF15C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9840EE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192544551</w:t>
            </w:r>
          </w:p>
        </w:tc>
      </w:tr>
      <w:tr w:rsidR="00317816" w:rsidRPr="00C24D02" w14:paraId="328E85AE" w14:textId="77777777" w:rsidTr="003D1A59">
        <w:trPr>
          <w:trHeight w:val="741"/>
        </w:trPr>
        <w:tc>
          <w:tcPr>
            <w:tcW w:w="2405" w:type="dxa"/>
          </w:tcPr>
          <w:p w14:paraId="0785DFD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35E8799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The Crisis of Liberal Democracy in the Czech Republic</w:t>
            </w:r>
          </w:p>
        </w:tc>
      </w:tr>
      <w:tr w:rsidR="00317816" w:rsidRPr="00C24D02" w14:paraId="05DBCA58" w14:textId="77777777" w:rsidTr="003D1A59">
        <w:tc>
          <w:tcPr>
            <w:tcW w:w="2405" w:type="dxa"/>
          </w:tcPr>
          <w:p w14:paraId="20AB318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62983FF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5.5.</w:t>
            </w:r>
          </w:p>
        </w:tc>
      </w:tr>
      <w:tr w:rsidR="00317816" w:rsidRPr="00C24D02" w14:paraId="1C964DAB" w14:textId="77777777" w:rsidTr="003D1A59">
        <w:tc>
          <w:tcPr>
            <w:tcW w:w="2405" w:type="dxa"/>
          </w:tcPr>
          <w:p w14:paraId="5BEE47F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5F4CB3B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3702DA5D" w14:textId="77777777" w:rsidTr="003D1A59">
        <w:tc>
          <w:tcPr>
            <w:tcW w:w="2405" w:type="dxa"/>
          </w:tcPr>
          <w:p w14:paraId="4D2E4DB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55"/>
            </w:r>
            <w:r w:rsidRPr="00C24D02">
              <w:rPr>
                <w:rFonts w:asciiTheme="minorHAnsi" w:eastAsia="Calibri" w:hAnsiTheme="minorHAnsi" w:cstheme="minorHAnsi"/>
              </w:rPr>
              <w:t>)</w:t>
            </w:r>
          </w:p>
        </w:tc>
        <w:tc>
          <w:tcPr>
            <w:tcW w:w="6378" w:type="dxa"/>
          </w:tcPr>
          <w:p w14:paraId="0468795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5/4/-/4</w:t>
            </w:r>
          </w:p>
        </w:tc>
      </w:tr>
      <w:tr w:rsidR="00317816" w:rsidRPr="00C24D02" w14:paraId="7875263E" w14:textId="77777777" w:rsidTr="003D1A59">
        <w:tc>
          <w:tcPr>
            <w:tcW w:w="2405" w:type="dxa"/>
          </w:tcPr>
          <w:p w14:paraId="037FF5A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5EFF0524"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4.</w:t>
            </w:r>
          </w:p>
        </w:tc>
      </w:tr>
    </w:tbl>
    <w:p w14:paraId="41491581" w14:textId="77777777" w:rsidR="00317816" w:rsidRPr="00C24D02" w:rsidRDefault="00317816" w:rsidP="00317816">
      <w:pPr>
        <w:spacing w:after="144" w:line="360" w:lineRule="auto"/>
        <w:rPr>
          <w:rFonts w:asciiTheme="minorHAnsi" w:hAnsiTheme="minorHAnsi" w:cstheme="minorHAnsi"/>
        </w:rPr>
      </w:pPr>
    </w:p>
    <w:p w14:paraId="2BCACECE"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Nesouhlasí s jedním posudkem</w:t>
      </w:r>
    </w:p>
    <w:p w14:paraId="1E6C7F9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3688E8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Hodnotitel/ka (anonymní) vychází z kritického posouzení kapitoly v publikaci The Crisis of Liberal Democracy. La Crise de la démocratie libérale. Diagnosis and Therapies. Diagnostics et thérapies.  Edited by Bertrand Mathieu and Georges Katrougalos. Intersentia. Cambridge-Antwerp-Chicago. 2023. Samotná kapitola The Crisis of Liberal Democracy in the Czech Republic je uvedena podtitulem „Contesting Liberalism or Liberal Constitutionalism?“, čímž je dle autorky vymezen přístup k analýze tématu. Tím lze vyvrátit názor hodnotitele/ky, že název kapitoly s nadpisem souvisí spíše volně. Jak hodnotitel/ka ze svých bohatých zahraničních publikačních zkušeností musí vědět, je v případě kolektivních monografií tohoto typu důležité vymezení tématu a definičního rámce analýz, s nimiž přispěvatelé z jednotlivých států přicházejí. Takové vymezení editoři spolu s dalšími nabízejí v prvních sedmdesáti stránkách uvedené publikace, po nichž následují kapitoly speciálně věnované systémům států nebo </w:t>
      </w:r>
      <w:r w:rsidRPr="00C24D02">
        <w:rPr>
          <w:rFonts w:asciiTheme="minorHAnsi" w:hAnsiTheme="minorHAnsi" w:cstheme="minorHAnsi"/>
        </w:rPr>
        <w:lastRenderedPageBreak/>
        <w:t>geograficky definovaným regionům. S velkou pravděpodobností hodnotitel/ka nepochybně pominul/a tuto souvislost a tím dospívá k závěru, že v konkrétním výstupu chybí definice pojmu krize, i-liberální demokracie atd.). Nepochybně stačí poukázat na uvedené úvodní kapitoly publikace, kde se s těmito pojmy pracuje (blíže tedy: koroze reprezentativní demokracie, oslabení normativních institucionálních základů reprezentativní demokracie, proměny klasického konceptu veřejného zájmu, projevy převahy „fiskality“ nad “institucionalitou“, a další). Autoři kapitol tedy při zpracování tématu byli vedeni nejen definičním rámcem publikace, ale také vycházeli z otázek, které editoři ve volně stylizovaném a teoreticky propracovaném dotazníku kladli (viz „Appendix“, str. 357 a násl.). S vědomím toho, že krize liberální demokracie je fenoménem, který se projevuje jak v obecné rovině, a tedy svým způsobem v globalizovaném prostředí, tak i v národních systémech a ústavních režimech různého typu, nebylo třeba pro české ústavní a politické prostředí vymezovat specifický teoretický kvadrant pojmů. Pro každého autora bylo důležité vnímat fenomén krize nikoli izolovaně a mimo znalost vnějších souvislostí, a tedy i nadnárodních či nadstátních, které se mohou specificky promítnout do národního (domácího) prostředí.  Jestliže se tedy závěrečné hodnocení výstupu opírá o neúplně zvažované souvislosti a hodnotí přínos z hlediska originality poznání pro domácího čtenáře, nelze se ubránit dojmu, že je více subjektivním postojem hodnotitele/ky, který/á nepřipouští, že vůbec nějaká krize liberalismu je na pořadu dne. Bylo by s podivem, zjistit, že pokud je krize vnímaná jako problém, o němž se píší vědecká pojednání v tradičně modelových ústavních zřízeních, že téma není ani originální ani významné pro zpracování.</w:t>
      </w:r>
    </w:p>
    <w:p w14:paraId="1D3027A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Výsledek je kapitolou v knize a byl hodnocen z pohledu kritéria přínosu k poznání. Z těchto parametrů vycházely i posudky hodnotitelů a závěrečné hodnocení panelisty.</w:t>
      </w:r>
    </w:p>
    <w:p w14:paraId="5B6F343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Výhrady obsažené v námitce se do značné míry míjejí s tímto rámcem pro hodnocení. Je-li hodnocena kapitola v knize, hodnotí se skutečně pouze ona kapitola. Jenom tato kapitola byla předložena k hodnocení a jen tato kapitola je přičitatelná předkládající výzkumné organizaci. Ostatně v tomto konkrétním případě výzkumná organizace předložila k hodnocení soubor, který obsahoval naskenované stránky právě této konkrétní kapitoly. Hodnotitelé tak ani neměli možnost seznámit se s celou knihou, nadto to nebylo k hodnocení zapotřebí.</w:t>
      </w:r>
    </w:p>
    <w:p w14:paraId="54334BC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lastRenderedPageBreak/>
        <w:t>Z hlediska knihy jako takové je jistě jedna její kapitola pouze částí většího celku a nedává smysl, aby vše, co je v knize obsaženo na jiném místě, se znovu opakovalo v konkrétní kapitole. Rozhodne-li se ovšem výzkumná organizace předložit k hodnocení kapitolu z knihy, musí právě tato kapitola představovat přínos k poznání, neboť právě tato kapitola bude hodnocena.</w:t>
      </w:r>
    </w:p>
    <w:p w14:paraId="4EEE8EF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Odkazuje-li autorka na jiné pasáže knihy, které napsali jiní autoři, a které nebyly předmětem hodnocení, nelze z nich usuzovat nic o přínosu k poznání kapitoly, která byla hodnocena.</w:t>
      </w:r>
    </w:p>
    <w:p w14:paraId="30EFA818"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Zdůvodnění hodnocení panelisty zní takto „Text poskytuje přehledné shrnutí problematiky, nemá ovšem další ambice. Nesleduje explicitně formulovanou výzkumnou otázku, nevyplňuje mezeru v poznání, vychází z omezeného a selektivního výběru literatury. Ač jde o anglicky psanou kapitolu v monografii publikované v dobrém nakladatelství, jde o výsledek, který je z hlediska originality, významu a obtížnosti získání národně uznatelný.“</w:t>
      </w:r>
    </w:p>
    <w:p w14:paraId="75107F0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Text námitky s tímto zdůvodněním nijak nepolemizuje. Netvrdí, že by hodnocená kapitola sledovala explicitně formulovaný výzkumný problém, zaplňovala mezeru v poznání apod., ani nepolemizuje s tím, že jde o kritéria, která jsou relevantní pro hodnocení přínosu k poznání. </w:t>
      </w:r>
    </w:p>
    <w:p w14:paraId="14E709DD"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ponechat původní hodnocení stupněm 4.</w:t>
      </w:r>
    </w:p>
    <w:p w14:paraId="7E722BBD" w14:textId="77777777" w:rsidR="00317816" w:rsidRPr="00C24D02" w:rsidRDefault="00317816" w:rsidP="00317816">
      <w:pPr>
        <w:spacing w:before="240" w:after="144" w:line="360" w:lineRule="auto"/>
        <w:jc w:val="both"/>
        <w:rPr>
          <w:rFonts w:asciiTheme="minorHAnsi" w:hAnsiTheme="minorHAnsi" w:cstheme="minorHAnsi"/>
          <w:b/>
          <w:u w:val="single"/>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Námitku nelze procesně vypořádat, jelikož autor neuvedl svůj požadavek.</w:t>
      </w:r>
    </w:p>
    <w:p w14:paraId="3FB73484" w14:textId="137D324C"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 xml:space="preserve">KHV souhlasí s vyjádřením Odborného panelu námitce nevyhovět a ponecháním původního hodnocení. Organizace rozporuje kvalitu odborného posudku, ale nežádá o změnu hodnocení výsledku.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5F473C8" w14:textId="77777777" w:rsidTr="003D1A59">
        <w:tc>
          <w:tcPr>
            <w:tcW w:w="2405" w:type="dxa"/>
          </w:tcPr>
          <w:p w14:paraId="72667DF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60FC9BD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VŠB-TUO - Fakulta bezpečnostního inženýrství</w:t>
            </w:r>
          </w:p>
        </w:tc>
      </w:tr>
      <w:tr w:rsidR="00317816" w:rsidRPr="00C24D02" w14:paraId="288E5813" w14:textId="77777777" w:rsidTr="003D1A59">
        <w:tc>
          <w:tcPr>
            <w:tcW w:w="2405" w:type="dxa"/>
          </w:tcPr>
          <w:p w14:paraId="1E0A9B3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17F18BD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192432113</w:t>
            </w:r>
          </w:p>
        </w:tc>
      </w:tr>
      <w:tr w:rsidR="00317816" w:rsidRPr="00C24D02" w14:paraId="0A675695" w14:textId="77777777" w:rsidTr="003D1A59">
        <w:trPr>
          <w:trHeight w:val="741"/>
        </w:trPr>
        <w:tc>
          <w:tcPr>
            <w:tcW w:w="2405" w:type="dxa"/>
          </w:tcPr>
          <w:p w14:paraId="77D5A7B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A9111D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Ultra-lean combustion mode</w:t>
            </w:r>
          </w:p>
        </w:tc>
      </w:tr>
      <w:tr w:rsidR="00317816" w:rsidRPr="00C24D02" w14:paraId="3950BB0D" w14:textId="77777777" w:rsidTr="003D1A59">
        <w:tc>
          <w:tcPr>
            <w:tcW w:w="2405" w:type="dxa"/>
          </w:tcPr>
          <w:p w14:paraId="397138F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47A252D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1.7.</w:t>
            </w:r>
          </w:p>
        </w:tc>
      </w:tr>
      <w:tr w:rsidR="00317816" w:rsidRPr="00C24D02" w14:paraId="192F0E51" w14:textId="77777777" w:rsidTr="003D1A59">
        <w:tc>
          <w:tcPr>
            <w:tcW w:w="2405" w:type="dxa"/>
          </w:tcPr>
          <w:p w14:paraId="6924BD5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18151E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03919F13" w14:textId="77777777" w:rsidTr="003D1A59">
        <w:tc>
          <w:tcPr>
            <w:tcW w:w="2405" w:type="dxa"/>
          </w:tcPr>
          <w:p w14:paraId="3D44EA4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Navržené známky (H1/H2/H3/</w:t>
            </w:r>
            <w:r w:rsidRPr="00C24D02">
              <w:rPr>
                <w:rFonts w:asciiTheme="minorHAnsi" w:eastAsia="Calibri" w:hAnsiTheme="minorHAnsi" w:cstheme="minorHAnsi"/>
                <w:b/>
              </w:rPr>
              <w:t>P</w:t>
            </w:r>
            <w:r w:rsidRPr="00C24D02">
              <w:rPr>
                <w:rStyle w:val="Znakapoznpodarou"/>
                <w:rFonts w:asciiTheme="minorHAnsi" w:eastAsia="Calibri" w:hAnsiTheme="minorHAnsi" w:cstheme="minorHAnsi"/>
                <w:b/>
              </w:rPr>
              <w:footnoteReference w:id="156"/>
            </w:r>
            <w:r w:rsidRPr="00C24D02">
              <w:rPr>
                <w:rFonts w:asciiTheme="minorHAnsi" w:eastAsia="Calibri" w:hAnsiTheme="minorHAnsi" w:cstheme="minorHAnsi"/>
              </w:rPr>
              <w:t>)</w:t>
            </w:r>
          </w:p>
        </w:tc>
        <w:tc>
          <w:tcPr>
            <w:tcW w:w="6378" w:type="dxa"/>
          </w:tcPr>
          <w:p w14:paraId="17DC901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4/4/-/3</w:t>
            </w:r>
          </w:p>
        </w:tc>
      </w:tr>
      <w:tr w:rsidR="00317816" w:rsidRPr="00C24D02" w14:paraId="7A2BC522" w14:textId="77777777" w:rsidTr="003D1A59">
        <w:tc>
          <w:tcPr>
            <w:tcW w:w="2405" w:type="dxa"/>
          </w:tcPr>
          <w:p w14:paraId="04905D0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314D3660"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Námitka nebyla akceptována, ponechán stupeň 3.</w:t>
            </w:r>
          </w:p>
        </w:tc>
      </w:tr>
    </w:tbl>
    <w:p w14:paraId="7C369565" w14:textId="77777777" w:rsidR="00317816" w:rsidRPr="00C24D02" w:rsidRDefault="00317816" w:rsidP="00317816">
      <w:pPr>
        <w:spacing w:after="144" w:line="360" w:lineRule="auto"/>
        <w:rPr>
          <w:rFonts w:asciiTheme="minorHAnsi" w:hAnsiTheme="minorHAnsi" w:cstheme="minorHAnsi"/>
        </w:rPr>
      </w:pPr>
    </w:p>
    <w:p w14:paraId="550E4132"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Reakce na výtky</w:t>
      </w:r>
    </w:p>
    <w:p w14:paraId="1EE7FE99"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51EE87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Dovolte nám touto cestou reagovat na některé z Vašich výtek a zároveň dovysvětlit, proč považujeme tuto práci za přínosnou. </w:t>
      </w:r>
    </w:p>
    <w:p w14:paraId="4DC999A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Nízkoteplotní oxidace (nebo obecně nízkoteplotní spalování) je dnes velmi aktuální oblastí výzkumu, zejména v souvislosti s proměnou povahy paliv (biopaliva, směsi s kyslíkem, vodík, ethers a další alternativní nosiče energie). Každé nové palivo či směs má odlišnou molekulární strukturu a tím i odlišné kinetické a chemické vlastnosti oxidačních procesů. Porozumění těmto procesům při nízkých teplotách je nezbytné pro: </w:t>
      </w:r>
    </w:p>
    <w:p w14:paraId="4A18E693" w14:textId="77777777" w:rsidR="00317816" w:rsidRPr="00C24D02" w:rsidRDefault="00317816" w:rsidP="00317816">
      <w:pPr>
        <w:numPr>
          <w:ilvl w:val="0"/>
          <w:numId w:val="36"/>
        </w:numPr>
        <w:spacing w:after="144" w:line="360" w:lineRule="auto"/>
        <w:jc w:val="both"/>
        <w:rPr>
          <w:rFonts w:asciiTheme="minorHAnsi" w:hAnsiTheme="minorHAnsi" w:cstheme="minorHAnsi"/>
        </w:rPr>
      </w:pPr>
      <w:r w:rsidRPr="00C24D02">
        <w:rPr>
          <w:rFonts w:asciiTheme="minorHAnsi" w:hAnsiTheme="minorHAnsi" w:cstheme="minorHAnsi"/>
        </w:rPr>
        <w:t xml:space="preserve">optimální návrh a provoz spalovacích zařízení (motory, kotle, turbíny), </w:t>
      </w:r>
    </w:p>
    <w:p w14:paraId="38526ABF" w14:textId="77777777" w:rsidR="00317816" w:rsidRPr="00C24D02" w:rsidRDefault="00317816" w:rsidP="00317816">
      <w:pPr>
        <w:numPr>
          <w:ilvl w:val="0"/>
          <w:numId w:val="36"/>
        </w:numPr>
        <w:spacing w:after="144" w:line="360" w:lineRule="auto"/>
        <w:jc w:val="both"/>
        <w:rPr>
          <w:rFonts w:asciiTheme="minorHAnsi" w:hAnsiTheme="minorHAnsi" w:cstheme="minorHAnsi"/>
        </w:rPr>
      </w:pPr>
      <w:r w:rsidRPr="00C24D02">
        <w:rPr>
          <w:rFonts w:asciiTheme="minorHAnsi" w:hAnsiTheme="minorHAnsi" w:cstheme="minorHAnsi"/>
        </w:rPr>
        <w:t xml:space="preserve">maximalizaci efektivity využití paliva, </w:t>
      </w:r>
    </w:p>
    <w:p w14:paraId="4CD5F6F4" w14:textId="77777777" w:rsidR="00317816" w:rsidRPr="00C24D02" w:rsidRDefault="00317816" w:rsidP="00317816">
      <w:pPr>
        <w:numPr>
          <w:ilvl w:val="0"/>
          <w:numId w:val="36"/>
        </w:numPr>
        <w:spacing w:after="144" w:line="360" w:lineRule="auto"/>
        <w:jc w:val="both"/>
        <w:rPr>
          <w:rFonts w:asciiTheme="minorHAnsi" w:hAnsiTheme="minorHAnsi" w:cstheme="minorHAnsi"/>
        </w:rPr>
      </w:pPr>
      <w:r w:rsidRPr="00C24D02">
        <w:rPr>
          <w:rFonts w:asciiTheme="minorHAnsi" w:hAnsiTheme="minorHAnsi" w:cstheme="minorHAnsi"/>
        </w:rPr>
        <w:t xml:space="preserve">minimalizaci emisí škodlivin i skleníkových plynů </w:t>
      </w:r>
    </w:p>
    <w:p w14:paraId="476FD91D" w14:textId="77777777" w:rsidR="00317816" w:rsidRPr="00C24D02" w:rsidRDefault="00317816" w:rsidP="00317816">
      <w:pPr>
        <w:numPr>
          <w:ilvl w:val="0"/>
          <w:numId w:val="36"/>
        </w:numPr>
        <w:spacing w:after="144" w:line="360" w:lineRule="auto"/>
        <w:jc w:val="both"/>
        <w:rPr>
          <w:rFonts w:asciiTheme="minorHAnsi" w:hAnsiTheme="minorHAnsi" w:cstheme="minorHAnsi"/>
        </w:rPr>
      </w:pPr>
      <w:r w:rsidRPr="00C24D02">
        <w:rPr>
          <w:rFonts w:asciiTheme="minorHAnsi" w:hAnsiTheme="minorHAnsi" w:cstheme="minorHAnsi"/>
        </w:rPr>
        <w:t xml:space="preserve">řádné řízení tvorby vedlejších produktů hoření (CO, UHC, aldehydy, saze), </w:t>
      </w:r>
    </w:p>
    <w:p w14:paraId="28E90BA6" w14:textId="77777777" w:rsidR="00317816" w:rsidRPr="00C24D02" w:rsidRDefault="00317816" w:rsidP="00317816">
      <w:pPr>
        <w:numPr>
          <w:ilvl w:val="0"/>
          <w:numId w:val="36"/>
        </w:numPr>
        <w:spacing w:after="144" w:line="360" w:lineRule="auto"/>
        <w:jc w:val="both"/>
        <w:rPr>
          <w:rFonts w:asciiTheme="minorHAnsi" w:hAnsiTheme="minorHAnsi" w:cstheme="minorHAnsi"/>
        </w:rPr>
      </w:pPr>
      <w:r w:rsidRPr="00C24D02">
        <w:rPr>
          <w:rFonts w:asciiTheme="minorHAnsi" w:hAnsiTheme="minorHAnsi" w:cstheme="minorHAnsi"/>
        </w:rPr>
        <w:t xml:space="preserve">snižování celkové uhlíkové stopy provozních systémů. </w:t>
      </w:r>
    </w:p>
    <w:p w14:paraId="0F70982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Bez dostatečně hlubokého pochopení nízkoteplotní oxidace nelze plně využít potenciál nových paliv v ekologicky a energeticky náročné době. ….</w:t>
      </w:r>
    </w:p>
    <w:p w14:paraId="6D8ACB04"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…..V obsahu našeho vyjádření bychom rádi poskytli ještě doplnění argumentů pro hodnocení kapitoly jako kvalitního příspěvku, a to v následujícím podobě:</w:t>
      </w:r>
    </w:p>
    <w:p w14:paraId="009B3C09" w14:textId="77777777" w:rsidR="00317816" w:rsidRPr="00C24D02" w:rsidRDefault="00317816" w:rsidP="00317816">
      <w:pPr>
        <w:pStyle w:val="Odstavecseseznamem"/>
        <w:numPr>
          <w:ilvl w:val="0"/>
          <w:numId w:val="37"/>
        </w:numPr>
        <w:spacing w:after="144" w:line="360" w:lineRule="auto"/>
        <w:jc w:val="both"/>
        <w:rPr>
          <w:rFonts w:asciiTheme="minorHAnsi" w:hAnsiTheme="minorHAnsi" w:cstheme="minorHAnsi"/>
        </w:rPr>
      </w:pPr>
      <w:r w:rsidRPr="00C24D02">
        <w:rPr>
          <w:rFonts w:asciiTheme="minorHAnsi" w:hAnsiTheme="minorHAnsi" w:cstheme="minorHAnsi"/>
        </w:rPr>
        <w:lastRenderedPageBreak/>
        <w:t xml:space="preserve">Kapitola propojuje teoretické aspekty oxidačních mechanismů s praktickými omezeními spalovacích systémů, čímž zajišťuje přímé propojení mezi základním výzkumem a inženýrskými aplikacemi. </w:t>
      </w:r>
    </w:p>
    <w:p w14:paraId="5E5AE82E" w14:textId="77777777" w:rsidR="00317816" w:rsidRPr="00C24D02" w:rsidRDefault="00317816" w:rsidP="00317816">
      <w:pPr>
        <w:pStyle w:val="Odstavecseseznamem"/>
        <w:numPr>
          <w:ilvl w:val="0"/>
          <w:numId w:val="37"/>
        </w:numPr>
        <w:spacing w:after="144" w:line="360" w:lineRule="auto"/>
        <w:jc w:val="both"/>
        <w:rPr>
          <w:rFonts w:asciiTheme="minorHAnsi" w:hAnsiTheme="minorHAnsi" w:cstheme="minorHAnsi"/>
        </w:rPr>
      </w:pPr>
      <w:r w:rsidRPr="00C24D02">
        <w:rPr>
          <w:rFonts w:asciiTheme="minorHAnsi" w:hAnsiTheme="minorHAnsi" w:cstheme="minorHAnsi"/>
        </w:rPr>
        <w:t xml:space="preserve">Zvláštní pozornost věnuje vlivu molekulární struktury paliva (např. větvené uhlovodíky, ethers, kyslíkaté složky) na kinetiku oxidace při nízkých teplotách. To je klíčové pro vývoj nových palivových směsí. </w:t>
      </w:r>
    </w:p>
    <w:p w14:paraId="608A0E6B" w14:textId="77777777" w:rsidR="00317816" w:rsidRPr="00C24D02" w:rsidRDefault="00317816" w:rsidP="00317816">
      <w:pPr>
        <w:pStyle w:val="Odstavecseseznamem"/>
        <w:numPr>
          <w:ilvl w:val="0"/>
          <w:numId w:val="37"/>
        </w:numPr>
        <w:spacing w:after="144" w:line="360" w:lineRule="auto"/>
        <w:jc w:val="both"/>
        <w:rPr>
          <w:rFonts w:asciiTheme="minorHAnsi" w:hAnsiTheme="minorHAnsi" w:cstheme="minorHAnsi"/>
        </w:rPr>
      </w:pPr>
      <w:r w:rsidRPr="00C24D02">
        <w:rPr>
          <w:rFonts w:asciiTheme="minorHAnsi" w:hAnsiTheme="minorHAnsi" w:cstheme="minorHAnsi"/>
        </w:rPr>
        <w:t xml:space="preserve">Diskuze o meziproduktech hoření, o jejich přeměně a rizicích z hlediska emisí či neúplného spalování, přímo odkazuje na otázky uhlíkové stopy a environmentální udržitelnosti. </w:t>
      </w:r>
    </w:p>
    <w:p w14:paraId="2B57FEC8" w14:textId="77777777" w:rsidR="00317816" w:rsidRPr="00C24D02" w:rsidRDefault="00317816" w:rsidP="00317816">
      <w:pPr>
        <w:pStyle w:val="Odstavecseseznamem"/>
        <w:numPr>
          <w:ilvl w:val="0"/>
          <w:numId w:val="37"/>
        </w:numPr>
        <w:spacing w:after="144" w:line="360" w:lineRule="auto"/>
        <w:jc w:val="both"/>
        <w:rPr>
          <w:rFonts w:asciiTheme="minorHAnsi" w:hAnsiTheme="minorHAnsi" w:cstheme="minorHAnsi"/>
        </w:rPr>
      </w:pPr>
      <w:r w:rsidRPr="00C24D02">
        <w:rPr>
          <w:rFonts w:asciiTheme="minorHAnsi" w:hAnsiTheme="minorHAnsi" w:cstheme="minorHAnsi"/>
        </w:rPr>
        <w:t xml:space="preserve">I nízký počet citací v tomto okamžiku nemusí znamenat malý význam, mnoho přínosných prací zpočátku nezíská okamžitý ohlas, ale slouží jako referenční rámec. </w:t>
      </w:r>
    </w:p>
    <w:p w14:paraId="69D60550" w14:textId="77777777" w:rsidR="00317816" w:rsidRPr="00C24D02" w:rsidRDefault="00317816" w:rsidP="00317816">
      <w:pPr>
        <w:pStyle w:val="Odstavecseseznamem"/>
        <w:numPr>
          <w:ilvl w:val="0"/>
          <w:numId w:val="37"/>
        </w:numPr>
        <w:spacing w:after="144" w:line="360" w:lineRule="auto"/>
        <w:jc w:val="both"/>
        <w:rPr>
          <w:rFonts w:asciiTheme="minorHAnsi" w:hAnsiTheme="minorHAnsi" w:cstheme="minorHAnsi"/>
        </w:rPr>
      </w:pPr>
      <w:r w:rsidRPr="00C24D02">
        <w:rPr>
          <w:rFonts w:asciiTheme="minorHAnsi" w:hAnsiTheme="minorHAnsi" w:cstheme="minorHAnsi"/>
        </w:rPr>
        <w:t xml:space="preserve">Kapitola má potenciál sloužit studentům, výzkumníkům a projektovým týmům jako strukturovaná vstupní brána do oblasti, a tím generovat cestu pro nové výsledky. </w:t>
      </w:r>
    </w:p>
    <w:p w14:paraId="5296B2E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V závěru bychom chtěli zdůraznit, že i přes některé nedostatky či možnost rozšíření materiálu věříme, že kapitola přináší hodnotný příspěvek k poznání v oboru, je včasná a relevantní z hlediska výzev, jimž čelí spalovací technologie v době transformace palivového mixu.</w:t>
      </w:r>
    </w:p>
    <w:p w14:paraId="7A5AA79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Námitka uvádí podrobnější vysvětlení významu a povahy výsledku. Všech zmiňovaných faktorů včetně "review" povahy článku si jsou panel a hodnotitelé dobře vědomi a vzali je při hodnocení do úvahy. Hodnotit lze pouze podle jednoho kritéria, doklad o společenské relevanci není v tomto případě relevantní. Známka vychází z kvalifikovaného pohledu nezávislých hodnotitelů. Nevidíme v námitce faktický důvod pro nové hodnocení.</w:t>
      </w:r>
    </w:p>
    <w:p w14:paraId="02DBBA2D"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ponechat původní hodnocení stupněm 3.</w:t>
      </w:r>
    </w:p>
    <w:p w14:paraId="428208E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w:t>
      </w:r>
      <w:r w:rsidRPr="00C24D02">
        <w:rPr>
          <w:rFonts w:asciiTheme="minorHAnsi" w:hAnsiTheme="minorHAnsi" w:cstheme="minorHAnsi"/>
        </w:rPr>
        <w:t xml:space="preserve">Při hodnocení je nutno postupovat dle oddílu </w:t>
      </w:r>
      <w:r w:rsidRPr="00C24D02">
        <w:rPr>
          <w:rFonts w:asciiTheme="minorHAnsi" w:hAnsiTheme="minorHAnsi" w:cstheme="minorHAnsi"/>
          <w:b/>
          <w:bCs/>
        </w:rPr>
        <w:t xml:space="preserve">4 M1 – kvalita vybraných výsledků, </w:t>
      </w:r>
      <w:r w:rsidRPr="00C24D02">
        <w:rPr>
          <w:rFonts w:asciiTheme="minorHAnsi" w:hAnsiTheme="minorHAnsi" w:cstheme="minorHAnsi"/>
        </w:rPr>
        <w:t>písmene e) Postupu</w:t>
      </w:r>
      <w:r w:rsidRPr="00C24D02">
        <w:rPr>
          <w:rStyle w:val="Znakapoznpodarou"/>
          <w:rFonts w:asciiTheme="minorHAnsi" w:hAnsiTheme="minorHAnsi" w:cstheme="minorHAnsi"/>
        </w:rPr>
        <w:footnoteReference w:id="157"/>
      </w:r>
      <w:r w:rsidRPr="00C24D02">
        <w:rPr>
          <w:rFonts w:asciiTheme="minorHAnsi" w:hAnsiTheme="minorHAnsi" w:cstheme="minorHAnsi"/>
        </w:rPr>
        <w:t xml:space="preserve">, ve kterém je uvedeno: </w:t>
      </w:r>
      <w:r w:rsidRPr="00C24D02">
        <w:rPr>
          <w:rFonts w:asciiTheme="minorHAnsi" w:hAnsiTheme="minorHAnsi" w:cstheme="minorHAnsi"/>
          <w:i/>
          <w:iCs/>
        </w:rPr>
        <w:t>„Posouzení výsledků probíhá podle kritéria přínos k poznání nebo podle kritéria společenská relevance.“</w:t>
      </w:r>
    </w:p>
    <w:p w14:paraId="119CFE89"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 ponecháním původního hodnocení, které bylo uděleno podle stávajících pravidel. Organizace rozporuje hodnocení výsledku, ale nežádá o jeho změnu.</w:t>
      </w:r>
    </w:p>
    <w:p w14:paraId="4EDD8C1C" w14:textId="77777777" w:rsidR="00317816" w:rsidRPr="00C24D02" w:rsidRDefault="00317816" w:rsidP="00317816">
      <w:pPr>
        <w:rPr>
          <w:rFonts w:asciiTheme="minorHAnsi" w:hAnsiTheme="minorHAnsi" w:cstheme="minorHAnsi"/>
        </w:rPr>
      </w:pPr>
    </w:p>
    <w:p w14:paraId="7655EE2C" w14:textId="34A779C5" w:rsidR="00317816" w:rsidRPr="00C24D02" w:rsidRDefault="00317816">
      <w:pPr>
        <w:suppressAutoHyphens w:val="0"/>
        <w:spacing w:after="160" w:line="259" w:lineRule="auto"/>
        <w:rPr>
          <w:rFonts w:asciiTheme="minorHAnsi" w:hAnsiTheme="minorHAnsi" w:cstheme="minorHAnsi"/>
        </w:rPr>
      </w:pPr>
      <w:r w:rsidRPr="00C24D02">
        <w:rPr>
          <w:rFonts w:asciiTheme="minorHAnsi" w:hAnsiTheme="minorHAnsi" w:cstheme="minorHAnsi"/>
        </w:rPr>
        <w:br w:type="page"/>
      </w:r>
    </w:p>
    <w:p w14:paraId="6C58C78D" w14:textId="3D7B1DD0" w:rsidR="00317816" w:rsidRPr="00D054AE" w:rsidRDefault="00317816" w:rsidP="00317816">
      <w:pPr>
        <w:pStyle w:val="Nadpis1"/>
        <w:numPr>
          <w:ilvl w:val="0"/>
          <w:numId w:val="1"/>
        </w:numPr>
        <w:spacing w:before="480" w:after="480" w:line="360" w:lineRule="auto"/>
        <w:ind w:left="714" w:hanging="357"/>
        <w:rPr>
          <w:rFonts w:asciiTheme="minorHAnsi" w:hAnsiTheme="minorHAnsi" w:cstheme="minorHAnsi"/>
          <w:sz w:val="22"/>
          <w:szCs w:val="22"/>
        </w:rPr>
      </w:pPr>
      <w:bookmarkStart w:id="57" w:name="_Toc221799822"/>
      <w:r w:rsidRPr="00C24D02">
        <w:rPr>
          <w:rFonts w:asciiTheme="minorHAnsi" w:hAnsiTheme="minorHAnsi" w:cstheme="minorHAnsi"/>
          <w:sz w:val="22"/>
          <w:szCs w:val="22"/>
        </w:rPr>
        <w:lastRenderedPageBreak/>
        <w:t>Výsledky odevzdané po termínu</w:t>
      </w:r>
      <w:bookmarkEnd w:id="57"/>
      <w:r w:rsidRPr="00C24D02">
        <w:rPr>
          <w:rFonts w:asciiTheme="minorHAnsi" w:hAnsiTheme="minorHAnsi" w:cstheme="minorHAnsi"/>
          <w:sz w:val="22"/>
          <w:szCs w:val="22"/>
        </w:rPr>
        <w:t xml:space="preserve">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22FDB13C" w14:textId="77777777" w:rsidTr="003D1A59">
        <w:tc>
          <w:tcPr>
            <w:tcW w:w="2405" w:type="dxa"/>
          </w:tcPr>
          <w:p w14:paraId="24EC686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9" w:type="dxa"/>
          </w:tcPr>
          <w:p w14:paraId="1C6D2A5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Biologické centrum AV ČR</w:t>
            </w:r>
          </w:p>
        </w:tc>
      </w:tr>
      <w:tr w:rsidR="00317816" w:rsidRPr="00C24D02" w14:paraId="4C011C7C" w14:textId="77777777" w:rsidTr="003D1A59">
        <w:tc>
          <w:tcPr>
            <w:tcW w:w="2405" w:type="dxa"/>
          </w:tcPr>
          <w:p w14:paraId="798500A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9" w:type="dxa"/>
          </w:tcPr>
          <w:p w14:paraId="7E7790F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192250977</w:t>
            </w:r>
          </w:p>
        </w:tc>
      </w:tr>
      <w:tr w:rsidR="00317816" w:rsidRPr="00C24D02" w14:paraId="23722B1D" w14:textId="77777777" w:rsidTr="003D1A59">
        <w:trPr>
          <w:trHeight w:val="741"/>
        </w:trPr>
        <w:tc>
          <w:tcPr>
            <w:tcW w:w="2405" w:type="dxa"/>
          </w:tcPr>
          <w:p w14:paraId="61AEA94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9" w:type="dxa"/>
          </w:tcPr>
          <w:p w14:paraId="04A0AF4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Solar radiation as the likely cause of acid-soluble rare-earth elements in sediments of fresh water humic lakes</w:t>
            </w:r>
          </w:p>
        </w:tc>
      </w:tr>
      <w:tr w:rsidR="00317816" w:rsidRPr="00C24D02" w14:paraId="3BBC3B45" w14:textId="77777777" w:rsidTr="003D1A59">
        <w:tc>
          <w:tcPr>
            <w:tcW w:w="2405" w:type="dxa"/>
          </w:tcPr>
          <w:p w14:paraId="6DECC0F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9" w:type="dxa"/>
          </w:tcPr>
          <w:p w14:paraId="2EB39DD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1.5.</w:t>
            </w:r>
          </w:p>
        </w:tc>
      </w:tr>
      <w:tr w:rsidR="00317816" w:rsidRPr="00C24D02" w14:paraId="4E6D5E92" w14:textId="77777777" w:rsidTr="003D1A59">
        <w:tc>
          <w:tcPr>
            <w:tcW w:w="2405" w:type="dxa"/>
          </w:tcPr>
          <w:p w14:paraId="3F3A95F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9" w:type="dxa"/>
          </w:tcPr>
          <w:p w14:paraId="45970A2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6E9F9C3A" w14:textId="77777777" w:rsidTr="003D1A59">
        <w:tc>
          <w:tcPr>
            <w:tcW w:w="2405" w:type="dxa"/>
          </w:tcPr>
          <w:p w14:paraId="54D1F02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Rok hodnocení výsledku</w:t>
            </w:r>
          </w:p>
        </w:tc>
        <w:tc>
          <w:tcPr>
            <w:tcW w:w="6379" w:type="dxa"/>
          </w:tcPr>
          <w:p w14:paraId="14F74F0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H21</w:t>
            </w:r>
          </w:p>
        </w:tc>
      </w:tr>
      <w:tr w:rsidR="00317816" w:rsidRPr="00C24D02" w14:paraId="3039B24C" w14:textId="77777777" w:rsidTr="003D1A59">
        <w:tc>
          <w:tcPr>
            <w:tcW w:w="2405" w:type="dxa"/>
          </w:tcPr>
          <w:p w14:paraId="7C39515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1"/>
                <w:rFonts w:asciiTheme="minorHAnsi" w:eastAsia="Calibri" w:hAnsiTheme="minorHAnsi" w:cstheme="minorHAnsi"/>
                <w:b/>
              </w:rPr>
              <w:footnoteReference w:id="158"/>
            </w:r>
            <w:r w:rsidRPr="00C24D02">
              <w:rPr>
                <w:rFonts w:asciiTheme="minorHAnsi" w:eastAsia="Calibri" w:hAnsiTheme="minorHAnsi" w:cstheme="minorHAnsi"/>
              </w:rPr>
              <w:t>)</w:t>
            </w:r>
          </w:p>
        </w:tc>
        <w:tc>
          <w:tcPr>
            <w:tcW w:w="6379" w:type="dxa"/>
          </w:tcPr>
          <w:p w14:paraId="3DF30CA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w:t>
            </w:r>
          </w:p>
        </w:tc>
      </w:tr>
      <w:tr w:rsidR="00317816" w:rsidRPr="00C24D02" w14:paraId="365378E4" w14:textId="77777777" w:rsidTr="003D1A59">
        <w:tc>
          <w:tcPr>
            <w:tcW w:w="2405" w:type="dxa"/>
          </w:tcPr>
          <w:p w14:paraId="3079CD9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9" w:type="dxa"/>
          </w:tcPr>
          <w:p w14:paraId="4BD14511"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Námitce nebylo vyhověno</w:t>
            </w:r>
          </w:p>
        </w:tc>
      </w:tr>
    </w:tbl>
    <w:p w14:paraId="3B5182E4" w14:textId="77777777" w:rsidR="00317816" w:rsidRPr="00C24D02" w:rsidRDefault="00317816" w:rsidP="00317816">
      <w:pPr>
        <w:spacing w:after="144" w:line="360" w:lineRule="auto"/>
        <w:rPr>
          <w:rFonts w:asciiTheme="minorHAnsi" w:hAnsiTheme="minorHAnsi" w:cstheme="minorHAnsi"/>
        </w:rPr>
      </w:pPr>
    </w:p>
    <w:p w14:paraId="41174A48"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Výsledek z H21</w:t>
      </w:r>
    </w:p>
    <w:p w14:paraId="358983C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77901D2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V hodnocení je výslovně uvedeno, že se zřejmě jedná o velmi kvalitní publikaci ve velmi kvalitním časopise. Negativní závěr hodnocení tedy nevychází z odborného posouzení kvality výsledku, ale pouze z formálních důvodů – konkrétně z nedostupnosti výsledku v úložišti, resp. zřejmě chybně uvedeného odkazu na výsledek (odkaz vedl pouze na databázi ASEP). Domníváme se, že v takovém případě došlo k čistě formálnímu pochybení, které znemožnilo ověření kvality jinak pravděpodobně vysoce kvalitního výstupu a z těchto důvodů žádáme o revokaci hodnocení, a to i s ohledem na skutečnost, že výsledek byl hodnocen pouze panelistou, nikoli hodnotiteli, čímž byla omezena možnost nezávislého odborného posouzení.</w:t>
      </w:r>
    </w:p>
    <w:p w14:paraId="6EBC9C5E"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Samotný článek zasíláme jako Přílohu 1 tohoto dokumentu.</w:t>
      </w:r>
    </w:p>
    <w:p w14:paraId="54C7AB9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lastRenderedPageBreak/>
        <w:t>Stanovisko garanta</w:t>
      </w:r>
      <w:r w:rsidRPr="00C24D02">
        <w:rPr>
          <w:rFonts w:asciiTheme="minorHAnsi" w:hAnsiTheme="minorHAnsi" w:cstheme="minorHAnsi"/>
        </w:rPr>
        <w:t xml:space="preserve">: Vyjádření garanta není požadováno </w:t>
      </w:r>
    </w:p>
    <w:p w14:paraId="0B0DEFC3"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bCs/>
        </w:rPr>
        <w:t>Vyjádření panelu není požadováno z důvodu doručení námitky po termínu (H21).</w:t>
      </w:r>
    </w:p>
    <w:p w14:paraId="30B3B8A6"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Rada pro výzkum, vývoj a inovace na svém 414. zasedání schválila výstupy z hodnocení v Modulu 1 a 2 a zveřejnila výzvu pro výzkumné organizace k zaslání zpětné vazby s termínem do 24. října 2025. Námitka vaší výzkumné organizace se zamítá z důvodu nedodržení termínu pro podání námitek. </w:t>
      </w:r>
    </w:p>
    <w:p w14:paraId="4328C034" w14:textId="37338423"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se zamítnutím námitky z procesních důvodů.</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2C44C51" w14:textId="77777777" w:rsidTr="003D1A59">
        <w:tc>
          <w:tcPr>
            <w:tcW w:w="2405" w:type="dxa"/>
          </w:tcPr>
          <w:p w14:paraId="0D625E2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1C236F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Ústav výzkumu globální změny AV ČR</w:t>
            </w:r>
          </w:p>
        </w:tc>
      </w:tr>
      <w:tr w:rsidR="00317816" w:rsidRPr="00C24D02" w14:paraId="125F8A5D" w14:textId="77777777" w:rsidTr="003D1A59">
        <w:tc>
          <w:tcPr>
            <w:tcW w:w="2405" w:type="dxa"/>
          </w:tcPr>
          <w:p w14:paraId="1FB0B96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59C5BFE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192422720</w:t>
            </w:r>
          </w:p>
        </w:tc>
      </w:tr>
      <w:tr w:rsidR="00317816" w:rsidRPr="00C24D02" w14:paraId="27FDE7D3" w14:textId="77777777" w:rsidTr="003D1A59">
        <w:trPr>
          <w:trHeight w:val="741"/>
        </w:trPr>
        <w:tc>
          <w:tcPr>
            <w:tcW w:w="2405" w:type="dxa"/>
          </w:tcPr>
          <w:p w14:paraId="764BC0E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334B48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Combining NDVI, PRI and the quantum yield of solar-induced fluorescence improves estimations of carbon fluxes in deciduous and evergreen forests</w:t>
            </w:r>
          </w:p>
        </w:tc>
      </w:tr>
      <w:tr w:rsidR="00317816" w:rsidRPr="00C24D02" w14:paraId="35BD9F76" w14:textId="77777777" w:rsidTr="003D1A59">
        <w:tc>
          <w:tcPr>
            <w:tcW w:w="2405" w:type="dxa"/>
          </w:tcPr>
          <w:p w14:paraId="52B34226"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41FD83F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1.6</w:t>
            </w:r>
          </w:p>
        </w:tc>
      </w:tr>
      <w:tr w:rsidR="00317816" w:rsidRPr="00C24D02" w14:paraId="6E614B49" w14:textId="77777777" w:rsidTr="003D1A59">
        <w:tc>
          <w:tcPr>
            <w:tcW w:w="2405" w:type="dxa"/>
          </w:tcPr>
          <w:p w14:paraId="469B32D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AF9DB5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4C2132A2" w14:textId="77777777" w:rsidTr="003D1A59">
        <w:tc>
          <w:tcPr>
            <w:tcW w:w="2405" w:type="dxa"/>
          </w:tcPr>
          <w:p w14:paraId="25921AD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1"/>
                <w:rFonts w:asciiTheme="minorHAnsi" w:eastAsia="Calibri" w:hAnsiTheme="minorHAnsi" w:cstheme="minorHAnsi"/>
                <w:b/>
              </w:rPr>
              <w:footnoteReference w:id="159"/>
            </w:r>
            <w:r w:rsidRPr="00C24D02">
              <w:rPr>
                <w:rFonts w:asciiTheme="minorHAnsi" w:eastAsia="Calibri" w:hAnsiTheme="minorHAnsi" w:cstheme="minorHAnsi"/>
              </w:rPr>
              <w:t>)</w:t>
            </w:r>
          </w:p>
        </w:tc>
        <w:tc>
          <w:tcPr>
            <w:tcW w:w="6378" w:type="dxa"/>
          </w:tcPr>
          <w:p w14:paraId="711BA1F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2/3/-/3</w:t>
            </w:r>
          </w:p>
        </w:tc>
      </w:tr>
      <w:tr w:rsidR="00317816" w:rsidRPr="00C24D02" w14:paraId="5E95E828" w14:textId="77777777" w:rsidTr="003D1A59">
        <w:tc>
          <w:tcPr>
            <w:tcW w:w="2405" w:type="dxa"/>
          </w:tcPr>
          <w:p w14:paraId="30A049C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03BBB87"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Námitce nebylo vyhověno</w:t>
            </w:r>
          </w:p>
        </w:tc>
      </w:tr>
    </w:tbl>
    <w:p w14:paraId="37F836A0" w14:textId="77777777" w:rsidR="00317816" w:rsidRPr="00C24D02" w:rsidRDefault="00317816" w:rsidP="00317816">
      <w:pPr>
        <w:spacing w:after="144" w:line="360" w:lineRule="auto"/>
        <w:rPr>
          <w:rFonts w:asciiTheme="minorHAnsi" w:hAnsiTheme="minorHAnsi" w:cstheme="minorHAnsi"/>
        </w:rPr>
      </w:pPr>
    </w:p>
    <w:p w14:paraId="485467C6"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Text hodnocení nekoresponduje se známkou – H23</w:t>
      </w:r>
    </w:p>
    <w:p w14:paraId="691DF3FD"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D2621AD" w14:textId="77777777" w:rsidR="00317816" w:rsidRPr="00C24D02" w:rsidRDefault="00317816" w:rsidP="00317816">
      <w:pPr>
        <w:pStyle w:val="Odstavecseseznamem"/>
        <w:numPr>
          <w:ilvl w:val="0"/>
          <w:numId w:val="38"/>
        </w:numPr>
        <w:suppressAutoHyphens w:val="0"/>
        <w:spacing w:after="144" w:line="360" w:lineRule="auto"/>
        <w:jc w:val="both"/>
        <w:rPr>
          <w:rFonts w:asciiTheme="minorHAnsi" w:hAnsiTheme="minorHAnsi" w:cstheme="minorHAnsi"/>
        </w:rPr>
      </w:pPr>
      <w:r w:rsidRPr="00C24D02">
        <w:rPr>
          <w:rFonts w:asciiTheme="minorHAnsi" w:hAnsiTheme="minorHAnsi" w:cstheme="minorHAnsi"/>
        </w:rPr>
        <w:t>rozpor mezi textem posudku a finálním hodnocením</w:t>
      </w:r>
    </w:p>
    <w:p w14:paraId="7AE6D1D8" w14:textId="77777777" w:rsidR="00317816" w:rsidRPr="00C24D02" w:rsidRDefault="00317816" w:rsidP="00317816">
      <w:pPr>
        <w:pStyle w:val="Odstavecseseznamem"/>
        <w:spacing w:after="144" w:line="360" w:lineRule="auto"/>
        <w:ind w:left="717"/>
        <w:jc w:val="both"/>
        <w:rPr>
          <w:rFonts w:asciiTheme="minorHAnsi" w:hAnsiTheme="minorHAnsi" w:cstheme="minorHAnsi"/>
        </w:rPr>
      </w:pPr>
      <w:r w:rsidRPr="00C24D02">
        <w:rPr>
          <w:rFonts w:asciiTheme="minorHAnsi" w:hAnsiTheme="minorHAnsi" w:cstheme="minorHAnsi"/>
        </w:rPr>
        <w:lastRenderedPageBreak/>
        <w:t xml:space="preserve">První posudek výslovně uvádí, že výsledek je „mezi klasifikačním stupněm špičkový a vynikající a přiklání se ke známce 2 s pofidérním odůvodněním „na výše uvedený motivační aspekt pro další práci…. </w:t>
      </w:r>
    </w:p>
    <w:p w14:paraId="040D502C" w14:textId="77777777" w:rsidR="00317816" w:rsidRPr="00C24D02" w:rsidRDefault="00317816" w:rsidP="00317816">
      <w:pPr>
        <w:pStyle w:val="Odstavecseseznamem"/>
        <w:numPr>
          <w:ilvl w:val="0"/>
          <w:numId w:val="38"/>
        </w:numPr>
        <w:suppressAutoHyphens w:val="0"/>
        <w:spacing w:after="144" w:line="360" w:lineRule="auto"/>
        <w:jc w:val="both"/>
        <w:rPr>
          <w:rFonts w:asciiTheme="minorHAnsi" w:hAnsiTheme="minorHAnsi" w:cstheme="minorHAnsi"/>
        </w:rPr>
      </w:pPr>
      <w:r w:rsidRPr="00C24D02">
        <w:rPr>
          <w:rFonts w:asciiTheme="minorHAnsi" w:hAnsiTheme="minorHAnsi" w:cstheme="minorHAnsi"/>
        </w:rPr>
        <w:t>Nedostatečné odůvodnění snížení známky</w:t>
      </w:r>
    </w:p>
    <w:p w14:paraId="0DC94F7A" w14:textId="77777777" w:rsidR="00317816" w:rsidRPr="00C24D02" w:rsidRDefault="00317816" w:rsidP="00317816">
      <w:pPr>
        <w:pStyle w:val="Odstavecseseznamem"/>
        <w:spacing w:after="144" w:line="360" w:lineRule="auto"/>
        <w:ind w:left="717"/>
        <w:jc w:val="both"/>
        <w:rPr>
          <w:rFonts w:asciiTheme="minorHAnsi" w:hAnsiTheme="minorHAnsi" w:cstheme="minorHAnsi"/>
        </w:rPr>
      </w:pPr>
      <w:r w:rsidRPr="00C24D02">
        <w:rPr>
          <w:rFonts w:asciiTheme="minorHAnsi" w:hAnsiTheme="minorHAnsi" w:cstheme="minorHAnsi"/>
        </w:rPr>
        <w:t xml:space="preserve">V žádném posudku nejsou uvedeny zásadní výhrady, které y odůvodňovaly snížení hodnocení na úroveň 3. Naopak, všechny posudky vyzdvihují kvalitu metodiky, originalitu a přínos výsledku. </w:t>
      </w:r>
    </w:p>
    <w:p w14:paraId="7EFAA43A" w14:textId="77777777" w:rsidR="00317816" w:rsidRPr="00C24D02" w:rsidRDefault="00317816" w:rsidP="00317816">
      <w:pPr>
        <w:pStyle w:val="Odstavecseseznamem"/>
        <w:numPr>
          <w:ilvl w:val="0"/>
          <w:numId w:val="38"/>
        </w:numPr>
        <w:suppressAutoHyphens w:val="0"/>
        <w:spacing w:after="144" w:line="360" w:lineRule="auto"/>
        <w:jc w:val="both"/>
        <w:rPr>
          <w:rFonts w:asciiTheme="minorHAnsi" w:hAnsiTheme="minorHAnsi" w:cstheme="minorHAnsi"/>
        </w:rPr>
      </w:pPr>
      <w:r w:rsidRPr="00C24D02">
        <w:rPr>
          <w:rFonts w:asciiTheme="minorHAnsi" w:hAnsiTheme="minorHAnsi" w:cstheme="minorHAnsi"/>
        </w:rPr>
        <w:t>Soulad s Metodikou 2017+</w:t>
      </w:r>
    </w:p>
    <w:p w14:paraId="707B4C03" w14:textId="77777777" w:rsidR="00317816" w:rsidRPr="00C24D02" w:rsidRDefault="00317816" w:rsidP="00317816">
      <w:pPr>
        <w:pStyle w:val="Odstavecseseznamem"/>
        <w:spacing w:after="144" w:line="360" w:lineRule="auto"/>
        <w:ind w:left="717"/>
        <w:jc w:val="both"/>
        <w:rPr>
          <w:rFonts w:asciiTheme="minorHAnsi" w:hAnsiTheme="minorHAnsi" w:cstheme="minorHAnsi"/>
        </w:rPr>
      </w:pPr>
      <w:r w:rsidRPr="00C24D02">
        <w:rPr>
          <w:rFonts w:asciiTheme="minorHAnsi" w:hAnsiTheme="minorHAnsi" w:cstheme="minorHAnsi"/>
        </w:rPr>
        <w:t xml:space="preserve">Podle Metodiky 2017+ má být hodnocení výsledků založeno na odborných posudcích a jejich kvalitativním obsahu. Pokud je většina posudků pozitivní a navrhuje vyšší hodnocení, mělo by být tomuto konsenzu přiznána váha. Finální známka 3 je v tomto případě neodůvodněná a neodpovídá obsahu posudků. </w:t>
      </w:r>
    </w:p>
    <w:p w14:paraId="4520148A" w14:textId="77777777" w:rsidR="00317816" w:rsidRPr="00C24D02" w:rsidRDefault="00317816" w:rsidP="00317816">
      <w:pPr>
        <w:pStyle w:val="Odstavecseseznamem"/>
        <w:spacing w:after="144" w:line="360" w:lineRule="auto"/>
        <w:ind w:left="142"/>
        <w:jc w:val="both"/>
        <w:rPr>
          <w:rFonts w:asciiTheme="minorHAnsi" w:hAnsiTheme="minorHAnsi" w:cstheme="minorHAnsi"/>
        </w:rPr>
      </w:pPr>
      <w:r w:rsidRPr="00C24D02">
        <w:rPr>
          <w:rFonts w:asciiTheme="minorHAnsi" w:hAnsiTheme="minorHAnsi" w:cstheme="minorHAnsi"/>
        </w:rPr>
        <w:t xml:space="preserve">Na základě výše uvedeného žádáme o přehodnocení finální známky a její úpravu na úroveň odpovídající obsahu posudků, tedy minimálně na známku 2. </w:t>
      </w:r>
    </w:p>
    <w:p w14:paraId="7AC0B8F0"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Vyjádření garanta není požadováno </w:t>
      </w:r>
    </w:p>
    <w:p w14:paraId="4E83C1FA"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Vyjádření Odborného panelu</w:t>
      </w:r>
      <w:r w:rsidRPr="00C24D02">
        <w:rPr>
          <w:rFonts w:asciiTheme="minorHAnsi" w:hAnsiTheme="minorHAnsi" w:cstheme="minorHAnsi"/>
          <w:bCs/>
          <w:u w:val="single"/>
        </w:rPr>
        <w:t>:</w:t>
      </w:r>
      <w:r w:rsidRPr="00C24D02">
        <w:rPr>
          <w:rFonts w:asciiTheme="minorHAnsi" w:hAnsiTheme="minorHAnsi" w:cstheme="minorHAnsi"/>
          <w:bCs/>
        </w:rPr>
        <w:t xml:space="preserve"> Vyjádření panelu není požadováno z důvodu doručení námitky po termínu (H23).</w:t>
      </w:r>
      <w:r w:rsidRPr="00C24D02">
        <w:rPr>
          <w:rFonts w:asciiTheme="minorHAnsi" w:hAnsiTheme="minorHAnsi" w:cstheme="minorHAnsi"/>
          <w:bCs/>
          <w:u w:val="single"/>
        </w:rPr>
        <w:t xml:space="preserve"> </w:t>
      </w:r>
    </w:p>
    <w:p w14:paraId="2FB57827"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Rada pro výzkum, vývoj a inovace na svém 414. zasedání schválila výstupy z hodnocení v Modulu 1 a 2 a zveřejnila výzvu pro výzkumné organizace k zaslání zpětné vazby s termínem do 24. října 2025. Námitka vaší výzkumné organizace se zamítá z důvodu nedodržení termínu pro podání námitek. </w:t>
      </w:r>
    </w:p>
    <w:p w14:paraId="29D65442" w14:textId="4E6108CF"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se zamítnutím námitky z procesních důvodů.</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EA52D5D" w14:textId="77777777" w:rsidTr="003D1A59">
        <w:tc>
          <w:tcPr>
            <w:tcW w:w="2405" w:type="dxa"/>
          </w:tcPr>
          <w:p w14:paraId="1E6B444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4279C5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SVÚM, a.s.</w:t>
            </w:r>
          </w:p>
        </w:tc>
      </w:tr>
      <w:tr w:rsidR="00317816" w:rsidRPr="00C24D02" w14:paraId="6D39FF67" w14:textId="77777777" w:rsidTr="003D1A59">
        <w:tc>
          <w:tcPr>
            <w:tcW w:w="2405" w:type="dxa"/>
          </w:tcPr>
          <w:p w14:paraId="31CA236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32BBE48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192504800</w:t>
            </w:r>
          </w:p>
        </w:tc>
      </w:tr>
      <w:tr w:rsidR="00317816" w:rsidRPr="00C24D02" w14:paraId="63AFDFEF" w14:textId="77777777" w:rsidTr="003D1A59">
        <w:trPr>
          <w:trHeight w:val="741"/>
        </w:trPr>
        <w:tc>
          <w:tcPr>
            <w:tcW w:w="2405" w:type="dxa"/>
          </w:tcPr>
          <w:p w14:paraId="65080AC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00915D2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Fatigue of Laser-Welded Structures: Role of Residual Stress</w:t>
            </w:r>
          </w:p>
        </w:tc>
      </w:tr>
      <w:tr w:rsidR="00317816" w:rsidRPr="00C24D02" w14:paraId="379C000E" w14:textId="77777777" w:rsidTr="003D1A59">
        <w:tc>
          <w:tcPr>
            <w:tcW w:w="2405" w:type="dxa"/>
          </w:tcPr>
          <w:p w14:paraId="6D2EBF3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569D1A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2.5.</w:t>
            </w:r>
          </w:p>
        </w:tc>
      </w:tr>
      <w:tr w:rsidR="00317816" w:rsidRPr="00C24D02" w14:paraId="138DC33B" w14:textId="77777777" w:rsidTr="003D1A59">
        <w:tc>
          <w:tcPr>
            <w:tcW w:w="2405" w:type="dxa"/>
          </w:tcPr>
          <w:p w14:paraId="76BAE88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B76B1BE"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7EF74C82" w14:textId="77777777" w:rsidTr="003D1A59">
        <w:tc>
          <w:tcPr>
            <w:tcW w:w="2405" w:type="dxa"/>
          </w:tcPr>
          <w:p w14:paraId="408775F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Navržené známky (H1/H2/H3/</w:t>
            </w:r>
            <w:r w:rsidRPr="00C24D02">
              <w:rPr>
                <w:rFonts w:asciiTheme="minorHAnsi" w:eastAsia="Calibri" w:hAnsiTheme="minorHAnsi" w:cstheme="minorHAnsi"/>
                <w:b/>
              </w:rPr>
              <w:t>P</w:t>
            </w:r>
            <w:r w:rsidRPr="00C24D02">
              <w:rPr>
                <w:rStyle w:val="Znakapoznpodarou1"/>
                <w:rFonts w:asciiTheme="minorHAnsi" w:eastAsia="Calibri" w:hAnsiTheme="minorHAnsi" w:cstheme="minorHAnsi"/>
                <w:b/>
              </w:rPr>
              <w:footnoteReference w:id="160"/>
            </w:r>
            <w:r w:rsidRPr="00C24D02">
              <w:rPr>
                <w:rFonts w:asciiTheme="minorHAnsi" w:eastAsia="Calibri" w:hAnsiTheme="minorHAnsi" w:cstheme="minorHAnsi"/>
              </w:rPr>
              <w:t>)</w:t>
            </w:r>
          </w:p>
        </w:tc>
        <w:tc>
          <w:tcPr>
            <w:tcW w:w="6378" w:type="dxa"/>
          </w:tcPr>
          <w:p w14:paraId="27C656A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3/3/-/4</w:t>
            </w:r>
          </w:p>
        </w:tc>
      </w:tr>
      <w:tr w:rsidR="00317816" w:rsidRPr="00C24D02" w14:paraId="0704C0B7" w14:textId="77777777" w:rsidTr="003D1A59">
        <w:tc>
          <w:tcPr>
            <w:tcW w:w="2405" w:type="dxa"/>
          </w:tcPr>
          <w:p w14:paraId="703F237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14173D0"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Námitce nebylo vyhověno</w:t>
            </w:r>
          </w:p>
        </w:tc>
      </w:tr>
    </w:tbl>
    <w:p w14:paraId="5C61F143" w14:textId="77777777" w:rsidR="00317816" w:rsidRPr="00C24D02" w:rsidRDefault="00317816" w:rsidP="00317816">
      <w:pPr>
        <w:spacing w:after="144" w:line="360" w:lineRule="auto"/>
        <w:rPr>
          <w:rFonts w:asciiTheme="minorHAnsi" w:hAnsiTheme="minorHAnsi" w:cstheme="minorHAnsi"/>
        </w:rPr>
      </w:pPr>
    </w:p>
    <w:p w14:paraId="34718DCD"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 xml:space="preserve">Námitka: Kritérium SR/PP – po termínu </w:t>
      </w:r>
    </w:p>
    <w:p w14:paraId="0359D1F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27D9623A" w14:textId="77777777" w:rsidR="00317816" w:rsidRPr="00C24D02" w:rsidRDefault="00317816" w:rsidP="00317816">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Naše společnost SVÚM a.s. v něm obdržela hodnocení, se kterým se nemůžeme ztotožnit. Po projednání s autory výsledků, vědeckými pracovníky SVÚM a.s. a důkladném prostudování hodnotících posudků, se vedení společnosti rozhodlo podat o</w:t>
      </w:r>
      <w:r w:rsidRPr="00C24D02">
        <w:rPr>
          <w:rFonts w:asciiTheme="minorHAnsi" w:eastAsia="Calibri" w:hAnsiTheme="minorHAnsi" w:cstheme="minorHAnsi"/>
          <w:b/>
          <w:bCs/>
        </w:rPr>
        <w:t xml:space="preserve">ficiální námitku proti hodnocení těchto výsledků hodnotiteli KHV. </w:t>
      </w:r>
    </w:p>
    <w:p w14:paraId="599A0EF4" w14:textId="77777777" w:rsidR="00317816" w:rsidRPr="00C24D02" w:rsidRDefault="00317816" w:rsidP="00317816">
      <w:pPr>
        <w:spacing w:after="144" w:line="360" w:lineRule="auto"/>
        <w:jc w:val="both"/>
        <w:rPr>
          <w:rFonts w:asciiTheme="minorHAnsi" w:eastAsia="Calibri" w:hAnsiTheme="minorHAnsi" w:cstheme="minorHAnsi"/>
        </w:rPr>
      </w:pPr>
      <w:r w:rsidRPr="00C24D02">
        <w:rPr>
          <w:rFonts w:asciiTheme="minorHAnsi" w:eastAsia="Calibri" w:hAnsiTheme="minorHAnsi" w:cstheme="minorHAnsi"/>
          <w:b/>
          <w:bCs/>
        </w:rPr>
        <w:t xml:space="preserve">Zdůvodnění: </w:t>
      </w:r>
      <w:r w:rsidRPr="00C24D02">
        <w:rPr>
          <w:rFonts w:asciiTheme="minorHAnsi" w:eastAsia="Calibri" w:hAnsiTheme="minorHAnsi" w:cstheme="minorHAnsi"/>
        </w:rPr>
        <w:t xml:space="preserve">Společnost SVÚM a.s. podala celkem 3 výsledky. Tyto výsledky byly KHV hodnoceny jako průměrné až podprůměrné. Výsledky byly hodnoceny ve dvou případech známkou 4 a v jednom případě známkou 5. </w:t>
      </w:r>
    </w:p>
    <w:p w14:paraId="063C9636" w14:textId="77777777" w:rsidR="00317816" w:rsidRPr="00C24D02" w:rsidRDefault="00317816" w:rsidP="00317816">
      <w:pPr>
        <w:spacing w:after="144" w:line="360" w:lineRule="auto"/>
        <w:jc w:val="both"/>
        <w:rPr>
          <w:rFonts w:asciiTheme="minorHAnsi" w:eastAsia="Calibri" w:hAnsiTheme="minorHAnsi" w:cstheme="minorHAnsi"/>
        </w:rPr>
      </w:pPr>
      <w:r w:rsidRPr="00C24D02">
        <w:rPr>
          <w:rFonts w:asciiTheme="minorHAnsi" w:eastAsia="Calibri" w:hAnsiTheme="minorHAnsi" w:cstheme="minorHAnsi"/>
          <w:b/>
          <w:bCs/>
        </w:rPr>
        <w:t xml:space="preserve">SVÚM a.s. nesouhlasí s hodnocením všech výsledků, důrazně se však ohrazuje proti hodnocení dvou výsledků a to 192504800 a 192431788. </w:t>
      </w:r>
    </w:p>
    <w:p w14:paraId="5D5B5AD9" w14:textId="77777777" w:rsidR="00317816" w:rsidRPr="00C24D02" w:rsidRDefault="00317816" w:rsidP="00317816">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 xml:space="preserve">Naše společnost protestuje proti způsobu hodnocení, ve kterém jsou rozpory při popisu hodnocení a výsledné známce, výsledky jsou hodnoceny subjektivně a s vysokou známkou negativního postupu hodnocení u hodnotitelů. S výsledky hodnocení vybraných výsledků naší výzkumné organizace </w:t>
      </w:r>
      <w:r w:rsidRPr="00C24D02">
        <w:rPr>
          <w:rFonts w:asciiTheme="minorHAnsi" w:eastAsia="Calibri" w:hAnsiTheme="minorHAnsi" w:cstheme="minorHAnsi"/>
          <w:b/>
          <w:bCs/>
        </w:rPr>
        <w:t xml:space="preserve">zásadně nesouhlasíme </w:t>
      </w:r>
      <w:r w:rsidRPr="00C24D02">
        <w:rPr>
          <w:rFonts w:asciiTheme="minorHAnsi" w:eastAsia="Calibri" w:hAnsiTheme="minorHAnsi" w:cstheme="minorHAnsi"/>
        </w:rPr>
        <w:t xml:space="preserve">a v přiloženém dokumentu Vám zasíláme konkrétní důvody. </w:t>
      </w:r>
    </w:p>
    <w:p w14:paraId="14B930BE" w14:textId="77777777" w:rsidR="00317816" w:rsidRPr="00C24D02" w:rsidRDefault="00317816" w:rsidP="00317816">
      <w:pPr>
        <w:spacing w:after="144" w:line="360" w:lineRule="auto"/>
        <w:jc w:val="both"/>
        <w:rPr>
          <w:rFonts w:asciiTheme="minorHAnsi" w:eastAsia="Calibri" w:hAnsiTheme="minorHAnsi" w:cstheme="minorHAnsi"/>
          <w:b/>
          <w:bCs/>
        </w:rPr>
      </w:pPr>
      <w:r w:rsidRPr="00C24D02">
        <w:rPr>
          <w:rFonts w:asciiTheme="minorHAnsi" w:eastAsia="Calibri" w:hAnsiTheme="minorHAnsi" w:cstheme="minorHAnsi"/>
        </w:rPr>
        <w:t xml:space="preserve">Společnost se domnívá, že postupovala dle všech platných dokumentů, které jsou uvedeny v </w:t>
      </w:r>
      <w:r w:rsidRPr="00C24D02">
        <w:rPr>
          <w:rFonts w:asciiTheme="minorHAnsi" w:eastAsia="Calibri" w:hAnsiTheme="minorHAnsi" w:cstheme="minorHAnsi"/>
          <w:b/>
          <w:bCs/>
        </w:rPr>
        <w:t>Metodice 17 +. Pro další působení naší společnosti jako VO může toto negativní hodnocení KHV způsobit fatální dopad na další rozvoj VO v souvislosti s celkovým hodnocením Poskytovatele DKRVO.</w:t>
      </w:r>
    </w:p>
    <w:p w14:paraId="1F8FB0C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Vyjádření garanta není požadováno </w:t>
      </w:r>
    </w:p>
    <w:p w14:paraId="667EA91F"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lastRenderedPageBreak/>
        <w:t>Vyjádření Odborného panelu</w:t>
      </w:r>
      <w:r w:rsidRPr="00C24D02">
        <w:rPr>
          <w:rFonts w:asciiTheme="minorHAnsi" w:hAnsiTheme="minorHAnsi" w:cstheme="minorHAnsi"/>
          <w:bCs/>
          <w:u w:val="single"/>
        </w:rPr>
        <w:t>:</w:t>
      </w:r>
      <w:r w:rsidRPr="00C24D02">
        <w:rPr>
          <w:rFonts w:asciiTheme="minorHAnsi" w:hAnsiTheme="minorHAnsi" w:cstheme="minorHAnsi"/>
          <w:bCs/>
        </w:rPr>
        <w:t xml:space="preserve"> Vyjádření panelu není požadováno z důvodu doručení námitky po termínu.</w:t>
      </w:r>
    </w:p>
    <w:p w14:paraId="242B05BF"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Rada pro výzkum, vývoj a inovace na svém 414. zasedání schválila výstupy z hodnocení v Modulu 1 a 2 a zveřejnila výzvu pro výzkumné organizace k zaslání zpětné vazby s termínem do 24. října 2025. Námitka vaší výzkumné organizace se zamítá z důvodu nedodržení termínu pro podání námitek. </w:t>
      </w:r>
    </w:p>
    <w:p w14:paraId="00CE9033" w14:textId="7B9BBBB9"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se zamítnutím námitky z procesních důvodů.</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779B9D91" w14:textId="77777777" w:rsidTr="003D1A59">
        <w:tc>
          <w:tcPr>
            <w:tcW w:w="2405" w:type="dxa"/>
          </w:tcPr>
          <w:p w14:paraId="0F7EAB2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0978BA9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SVÚM, a.s.</w:t>
            </w:r>
          </w:p>
        </w:tc>
      </w:tr>
      <w:tr w:rsidR="00317816" w:rsidRPr="00C24D02" w14:paraId="45B6BB10" w14:textId="77777777" w:rsidTr="003D1A59">
        <w:tc>
          <w:tcPr>
            <w:tcW w:w="2405" w:type="dxa"/>
          </w:tcPr>
          <w:p w14:paraId="27F8B049"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0A8FB24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192431788</w:t>
            </w:r>
          </w:p>
        </w:tc>
      </w:tr>
      <w:tr w:rsidR="00317816" w:rsidRPr="00C24D02" w14:paraId="614B9BF4" w14:textId="77777777" w:rsidTr="003D1A59">
        <w:trPr>
          <w:trHeight w:val="741"/>
        </w:trPr>
        <w:tc>
          <w:tcPr>
            <w:tcW w:w="2405" w:type="dxa"/>
          </w:tcPr>
          <w:p w14:paraId="0E331EE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5A35E97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Materiál pro tribologické aplikace ze směsi PTFE a PEEK zpracovatelný sintrováním na vzduchu</w:t>
            </w:r>
          </w:p>
        </w:tc>
      </w:tr>
      <w:tr w:rsidR="00317816" w:rsidRPr="00C24D02" w14:paraId="519FE742" w14:textId="77777777" w:rsidTr="003D1A59">
        <w:tc>
          <w:tcPr>
            <w:tcW w:w="2405" w:type="dxa"/>
          </w:tcPr>
          <w:p w14:paraId="2CAAD24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3051EA8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2.5.</w:t>
            </w:r>
          </w:p>
        </w:tc>
      </w:tr>
      <w:tr w:rsidR="00317816" w:rsidRPr="00C24D02" w14:paraId="00728210" w14:textId="77777777" w:rsidTr="003D1A59">
        <w:tc>
          <w:tcPr>
            <w:tcW w:w="2405" w:type="dxa"/>
          </w:tcPr>
          <w:p w14:paraId="7E77A61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4F2CB041"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7961FDBA" w14:textId="77777777" w:rsidTr="003D1A59">
        <w:tc>
          <w:tcPr>
            <w:tcW w:w="2405" w:type="dxa"/>
          </w:tcPr>
          <w:p w14:paraId="43F4482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1"/>
                <w:rFonts w:asciiTheme="minorHAnsi" w:eastAsia="Calibri" w:hAnsiTheme="minorHAnsi" w:cstheme="minorHAnsi"/>
                <w:b/>
              </w:rPr>
              <w:footnoteReference w:id="161"/>
            </w:r>
            <w:r w:rsidRPr="00C24D02">
              <w:rPr>
                <w:rFonts w:asciiTheme="minorHAnsi" w:eastAsia="Calibri" w:hAnsiTheme="minorHAnsi" w:cstheme="minorHAnsi"/>
              </w:rPr>
              <w:t>)</w:t>
            </w:r>
          </w:p>
        </w:tc>
        <w:tc>
          <w:tcPr>
            <w:tcW w:w="6378" w:type="dxa"/>
          </w:tcPr>
          <w:p w14:paraId="0D7FC2D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4/4/-/4</w:t>
            </w:r>
          </w:p>
        </w:tc>
      </w:tr>
      <w:tr w:rsidR="00317816" w:rsidRPr="00C24D02" w14:paraId="6F1A6679" w14:textId="77777777" w:rsidTr="003D1A59">
        <w:tc>
          <w:tcPr>
            <w:tcW w:w="2405" w:type="dxa"/>
          </w:tcPr>
          <w:p w14:paraId="3F4FCA0C"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73070366"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Námitce nebylo vyhověno</w:t>
            </w:r>
          </w:p>
        </w:tc>
      </w:tr>
    </w:tbl>
    <w:p w14:paraId="62DA2B10" w14:textId="77777777" w:rsidR="00317816" w:rsidRPr="00C24D02" w:rsidRDefault="00317816" w:rsidP="00317816">
      <w:pPr>
        <w:spacing w:after="144" w:line="360" w:lineRule="auto"/>
        <w:rPr>
          <w:rFonts w:asciiTheme="minorHAnsi" w:hAnsiTheme="minorHAnsi" w:cstheme="minorHAnsi"/>
        </w:rPr>
      </w:pPr>
    </w:p>
    <w:p w14:paraId="66B2EF6F"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Subjektivní hodnocení – po termínu</w:t>
      </w:r>
    </w:p>
    <w:p w14:paraId="7998615E"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65DC5080"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Hodnocení je velmi subjektivní s negací, která je neopodstatněná. Hodnotitel A vyjadřuje pochybnosti nad skutečným přínosem. O reálném ekonomickém přínosu řešení dnes rozhoduje zejména to, zda-li je nějaký produkt stále vyvíjen, zda-li je cenově konkurenceschopný a dostatečně flexibilní pro různé podmínky využití. Bohužel zde se projevuje neznalost hodnotitelů o fungování databáze výsledků na UPV a na mezinárodní </w:t>
      </w:r>
      <w:r w:rsidRPr="00C24D02">
        <w:rPr>
          <w:rFonts w:asciiTheme="minorHAnsi" w:hAnsiTheme="minorHAnsi" w:cstheme="minorHAnsi"/>
        </w:rPr>
        <w:lastRenderedPageBreak/>
        <w:t xml:space="preserve">úrovni. Kritika výsledku Hodnotitelem A není na místě, jak potvrzuje hodnocení Hodnotitele B, který tvrdí, že se jedná se o unikátní výsledek s nadnárodním přesahem. Poptávka ze zahraničí od firmy z USA značí, že se jedná o zajímavý materiál pro další komerční využití. Vzhledem k náročnému dlouhodobému testování výsledku proběhla finalizace výsledku v roce 2024. V roce 2025 do USA již odešla první dodávka a o tento materiál již projevila zájem další firma tentokrát z Jižní Koreje. </w:t>
      </w:r>
    </w:p>
    <w:p w14:paraId="50093A5B" w14:textId="77777777" w:rsidR="00317816" w:rsidRPr="00C24D02" w:rsidRDefault="00317816" w:rsidP="00317816">
      <w:pPr>
        <w:spacing w:after="144" w:line="360" w:lineRule="auto"/>
        <w:ind w:firstLine="357"/>
        <w:jc w:val="both"/>
        <w:rPr>
          <w:rFonts w:asciiTheme="minorHAnsi" w:hAnsiTheme="minorHAnsi" w:cstheme="minorHAnsi"/>
        </w:rPr>
      </w:pPr>
      <w:r w:rsidRPr="0015449A">
        <w:rPr>
          <w:rFonts w:asciiTheme="minorHAnsi" w:hAnsiTheme="minorHAnsi" w:cstheme="minorHAnsi"/>
          <w:b/>
          <w:bCs/>
        </w:rPr>
        <w:t>T</w:t>
      </w:r>
      <w:r w:rsidRPr="00C24D02">
        <w:rPr>
          <w:rFonts w:asciiTheme="minorHAnsi" w:hAnsiTheme="minorHAnsi" w:cstheme="minorHAnsi"/>
          <w:b/>
          <w:bCs/>
        </w:rPr>
        <w:t xml:space="preserve">vrzení Panelisty </w:t>
      </w:r>
      <w:r w:rsidRPr="00C24D02">
        <w:rPr>
          <w:rFonts w:asciiTheme="minorHAnsi" w:hAnsiTheme="minorHAnsi" w:cstheme="minorHAnsi"/>
        </w:rPr>
        <w:t xml:space="preserve">, že Užitný vzor je stručný, značí, že nemá zkušenosti v komerčním životě v mezinárodním měřítku. Uvedením rozsáhlejšího popisu bychom umožnili konkurenci přijít s obdobným materiálem a ztratili konkurenceschopnost. Vzhledem k délce řízení na UPV a reálného stupně skutečné ochrany se nám dlouhodobě jeví jako výhodnější přihlašování užitných vzorů s minimálním technologickým popisem. </w:t>
      </w:r>
    </w:p>
    <w:p w14:paraId="0D10989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 xml:space="preserve">Námitka SVÚM a.s. </w:t>
      </w:r>
      <w:r w:rsidRPr="00C24D02">
        <w:rPr>
          <w:rFonts w:asciiTheme="minorHAnsi" w:hAnsiTheme="minorHAnsi" w:cstheme="minorHAnsi"/>
        </w:rPr>
        <w:t xml:space="preserve">– jedná se o unikátní výsledky </w:t>
      </w:r>
      <w:r w:rsidRPr="00C24D02">
        <w:rPr>
          <w:rFonts w:asciiTheme="minorHAnsi" w:hAnsiTheme="minorHAnsi" w:cstheme="minorHAnsi"/>
          <w:b/>
          <w:bCs/>
        </w:rPr>
        <w:t xml:space="preserve">s nadnárodním přesahem, </w:t>
      </w:r>
      <w:r w:rsidRPr="00C24D02">
        <w:rPr>
          <w:rFonts w:asciiTheme="minorHAnsi" w:hAnsiTheme="minorHAnsi" w:cstheme="minorHAnsi"/>
        </w:rPr>
        <w:t xml:space="preserve">jak již zmiňuje Hodnotitel A, který přesto výsledek kritizuje. Hodnotitel B se zaměřuje pouze na kritiku popisu výroby a nehodnotí přínos. Známka 4 neodpovídá hodnocení dle Metodiky 17+. </w:t>
      </w:r>
    </w:p>
    <w:p w14:paraId="50B9AE8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b/>
          <w:bCs/>
        </w:rPr>
        <w:t>Navrhujeme přehodnocení výsledku na známku 3.</w:t>
      </w:r>
      <w:r w:rsidRPr="00C24D02">
        <w:rPr>
          <w:rFonts w:asciiTheme="minorHAnsi" w:hAnsiTheme="minorHAnsi" w:cstheme="minorHAnsi"/>
        </w:rPr>
        <w:t xml:space="preserve"> </w:t>
      </w:r>
    </w:p>
    <w:p w14:paraId="7E69E95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Vyjádření garanta není požadováno </w:t>
      </w:r>
    </w:p>
    <w:p w14:paraId="402A2040"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Vyjádření Odborného panelu</w:t>
      </w:r>
      <w:r w:rsidRPr="00C24D02">
        <w:rPr>
          <w:rFonts w:asciiTheme="minorHAnsi" w:hAnsiTheme="minorHAnsi" w:cstheme="minorHAnsi"/>
          <w:bCs/>
          <w:u w:val="single"/>
        </w:rPr>
        <w:t xml:space="preserve">: </w:t>
      </w:r>
      <w:r w:rsidRPr="00C24D02">
        <w:rPr>
          <w:rFonts w:asciiTheme="minorHAnsi" w:hAnsiTheme="minorHAnsi" w:cstheme="minorHAnsi"/>
          <w:bCs/>
        </w:rPr>
        <w:t>Vyjádření panelu není požadováno z důvodu doručení námitky po termínu.</w:t>
      </w:r>
      <w:r w:rsidRPr="00C24D02">
        <w:rPr>
          <w:rFonts w:asciiTheme="minorHAnsi" w:hAnsiTheme="minorHAnsi" w:cstheme="minorHAnsi"/>
          <w:bCs/>
          <w:u w:val="single"/>
        </w:rPr>
        <w:t xml:space="preserve"> </w:t>
      </w:r>
    </w:p>
    <w:p w14:paraId="2B240926"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Rada pro výzkum, vývoj a inovace na svém 414. zasedání schválila výstupy z hodnocení v Modulu 1 a 2 a zveřejnila výzvu pro výzkumné organizace k zaslání zpětné vazby s termínem do 24. října 2025. Námitka vaší výzkumné organizace se zamítá z důvodu nedodržení termínu pro podání námitek. </w:t>
      </w:r>
    </w:p>
    <w:p w14:paraId="5FC51A85" w14:textId="207D8FD6"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se zamítnutím námitky z procesních důvodů.</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4496F737" w14:textId="77777777" w:rsidTr="003D1A59">
        <w:tc>
          <w:tcPr>
            <w:tcW w:w="2405" w:type="dxa"/>
          </w:tcPr>
          <w:p w14:paraId="2797538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736D565C"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SVÚM, a.s.</w:t>
            </w:r>
          </w:p>
        </w:tc>
      </w:tr>
      <w:tr w:rsidR="00317816" w:rsidRPr="00C24D02" w14:paraId="21ACC579" w14:textId="77777777" w:rsidTr="003D1A59">
        <w:tc>
          <w:tcPr>
            <w:tcW w:w="2405" w:type="dxa"/>
          </w:tcPr>
          <w:p w14:paraId="6E96D31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2B2E137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192431804</w:t>
            </w:r>
          </w:p>
        </w:tc>
      </w:tr>
      <w:tr w:rsidR="00317816" w:rsidRPr="00C24D02" w14:paraId="46BD0586" w14:textId="77777777" w:rsidTr="003D1A59">
        <w:trPr>
          <w:trHeight w:val="741"/>
        </w:trPr>
        <w:tc>
          <w:tcPr>
            <w:tcW w:w="2405" w:type="dxa"/>
          </w:tcPr>
          <w:p w14:paraId="7C206A4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Název</w:t>
            </w:r>
          </w:p>
        </w:tc>
        <w:tc>
          <w:tcPr>
            <w:tcW w:w="6378" w:type="dxa"/>
          </w:tcPr>
          <w:p w14:paraId="02991B6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Influence of Overlapping on Surface Integrity Parameters of Laser-Hardened Railway Axles In: Experimental Stress Analysis 2021 - Book of Extended Abstracts.</w:t>
            </w:r>
          </w:p>
        </w:tc>
      </w:tr>
      <w:tr w:rsidR="00317816" w:rsidRPr="00C24D02" w14:paraId="54246A7E" w14:textId="77777777" w:rsidTr="003D1A59">
        <w:tc>
          <w:tcPr>
            <w:tcW w:w="2405" w:type="dxa"/>
          </w:tcPr>
          <w:p w14:paraId="5C89CDF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2DB0010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2.5.</w:t>
            </w:r>
          </w:p>
        </w:tc>
      </w:tr>
      <w:tr w:rsidR="00317816" w:rsidRPr="00C24D02" w14:paraId="2AE8A65C" w14:textId="77777777" w:rsidTr="003D1A59">
        <w:tc>
          <w:tcPr>
            <w:tcW w:w="2405" w:type="dxa"/>
          </w:tcPr>
          <w:p w14:paraId="141654C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37BEB9BF"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6C570D71" w14:textId="77777777" w:rsidTr="003D1A59">
        <w:tc>
          <w:tcPr>
            <w:tcW w:w="2405" w:type="dxa"/>
          </w:tcPr>
          <w:p w14:paraId="3A42E65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1"/>
                <w:rFonts w:asciiTheme="minorHAnsi" w:eastAsia="Calibri" w:hAnsiTheme="minorHAnsi" w:cstheme="minorHAnsi"/>
                <w:b/>
              </w:rPr>
              <w:footnoteReference w:id="162"/>
            </w:r>
            <w:r w:rsidRPr="00C24D02">
              <w:rPr>
                <w:rFonts w:asciiTheme="minorHAnsi" w:eastAsia="Calibri" w:hAnsiTheme="minorHAnsi" w:cstheme="minorHAnsi"/>
              </w:rPr>
              <w:t>)</w:t>
            </w:r>
          </w:p>
        </w:tc>
        <w:tc>
          <w:tcPr>
            <w:tcW w:w="6378" w:type="dxa"/>
          </w:tcPr>
          <w:p w14:paraId="338ABBE5"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5/5/-/5</w:t>
            </w:r>
          </w:p>
        </w:tc>
      </w:tr>
      <w:tr w:rsidR="00317816" w:rsidRPr="00C24D02" w14:paraId="2AC01B6F" w14:textId="77777777" w:rsidTr="003D1A59">
        <w:tc>
          <w:tcPr>
            <w:tcW w:w="2405" w:type="dxa"/>
          </w:tcPr>
          <w:p w14:paraId="62AB8C4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6A3267AC"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Námitce nebylo vyhověno</w:t>
            </w:r>
          </w:p>
        </w:tc>
      </w:tr>
    </w:tbl>
    <w:p w14:paraId="26E94505" w14:textId="77777777" w:rsidR="00317816" w:rsidRPr="00C24D02" w:rsidRDefault="00317816" w:rsidP="00317816">
      <w:pPr>
        <w:spacing w:after="144" w:line="360" w:lineRule="auto"/>
        <w:rPr>
          <w:rFonts w:asciiTheme="minorHAnsi" w:hAnsiTheme="minorHAnsi" w:cstheme="minorHAnsi"/>
        </w:rPr>
      </w:pPr>
    </w:p>
    <w:p w14:paraId="5E09A688"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Subjektivní hodnocení – po termínu</w:t>
      </w:r>
    </w:p>
    <w:p w14:paraId="3346A7D1"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38A0D2C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Výsledky jsou sice často hodnoceny osobnostmi, ovšem tyto velice často nemají znalosti z daného oboru, který hodnotí. Výsledky jsou pak hodnoceny velmi rozporuplně a neobjektivně. V některých hodnoceních se objevuje zpochybnění kvality periodik viz hodnocení výsledku </w:t>
      </w:r>
      <w:r w:rsidRPr="00C24D02">
        <w:rPr>
          <w:rFonts w:asciiTheme="minorHAnsi" w:hAnsiTheme="minorHAnsi" w:cstheme="minorHAnsi"/>
          <w:b/>
          <w:bCs/>
        </w:rPr>
        <w:t xml:space="preserve">192431804 </w:t>
      </w:r>
      <w:r w:rsidRPr="00C24D02">
        <w:rPr>
          <w:rFonts w:asciiTheme="minorHAnsi" w:hAnsiTheme="minorHAnsi" w:cstheme="minorHAnsi"/>
        </w:rPr>
        <w:t xml:space="preserve">s hodnocením 5, – ovšem chybí jakékoliv zdůvodnění měřitelnosti hodnocení periodik. Proč je ten a ten časopis průměrný nebo podprůměrný. </w:t>
      </w:r>
    </w:p>
    <w:p w14:paraId="0CC395BC"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 xml:space="preserve">Hodnotitelé </w:t>
      </w:r>
      <w:r w:rsidRPr="00C24D02">
        <w:rPr>
          <w:rFonts w:asciiTheme="minorHAnsi" w:hAnsiTheme="minorHAnsi" w:cstheme="minorHAnsi"/>
          <w:b/>
          <w:bCs/>
        </w:rPr>
        <w:t>chybně vyvozují hodnotu Užitného vzoru zapsaného v ČR</w:t>
      </w:r>
      <w:r w:rsidRPr="00C24D02">
        <w:rPr>
          <w:rFonts w:asciiTheme="minorHAnsi" w:hAnsiTheme="minorHAnsi" w:cstheme="minorHAnsi"/>
        </w:rPr>
        <w:t>. Například vynález může mít v době hodnocení význam pro český trh a po nějaké době se dostat i na zahraniční trh. V době hodnocení však dostane horší známku, protože byl pouze uveden na českém trhu. Hodnocení Užitného vzoru o který je zájem v USA známkou 4 je silně demotivující.</w:t>
      </w:r>
    </w:p>
    <w:p w14:paraId="4653F48F"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Vyjádření garanta není požadováno </w:t>
      </w:r>
    </w:p>
    <w:p w14:paraId="1DD9F2AF"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bCs/>
        </w:rPr>
        <w:t>Vyjádření panelu není požadováno z důvodu doručení výsledku po termínu.</w:t>
      </w:r>
      <w:r w:rsidRPr="00C24D02">
        <w:rPr>
          <w:rFonts w:asciiTheme="minorHAnsi" w:hAnsiTheme="minorHAnsi" w:cstheme="minorHAnsi"/>
          <w:bCs/>
          <w:u w:val="single"/>
        </w:rPr>
        <w:t xml:space="preserve"> </w:t>
      </w:r>
    </w:p>
    <w:p w14:paraId="4D3FEA28"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Rada pro výzkum, vývoj a inovace na svém 414. zasedání schválila výstupy z hodnocení v Modulu 1 a 2 a zveřejnila výzvu pro výzkumné </w:t>
      </w:r>
      <w:r w:rsidRPr="00C24D02">
        <w:rPr>
          <w:rFonts w:asciiTheme="minorHAnsi" w:hAnsiTheme="minorHAnsi" w:cstheme="minorHAnsi"/>
          <w:bCs/>
        </w:rPr>
        <w:lastRenderedPageBreak/>
        <w:t xml:space="preserve">organizace k zaslání zpětné vazby s termínem do 24. října 2025. Námitka vaší výzkumné organizace se zamítá z důvodu nedodržení termínu pro podání námitek. </w:t>
      </w:r>
    </w:p>
    <w:p w14:paraId="2A8F7934" w14:textId="0C03C050"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se zamítnutím námitky z procesních důvodů.</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59163D2E" w14:textId="77777777" w:rsidTr="003D1A59">
        <w:tc>
          <w:tcPr>
            <w:tcW w:w="2405" w:type="dxa"/>
          </w:tcPr>
          <w:p w14:paraId="5D297A8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1B4FA268"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Česká geologická služba</w:t>
            </w:r>
          </w:p>
        </w:tc>
      </w:tr>
      <w:tr w:rsidR="00317816" w:rsidRPr="00C24D02" w14:paraId="7BB1E20B" w14:textId="77777777" w:rsidTr="003D1A59">
        <w:tc>
          <w:tcPr>
            <w:tcW w:w="2405" w:type="dxa"/>
          </w:tcPr>
          <w:p w14:paraId="4535FFE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43A713D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192499687</w:t>
            </w:r>
          </w:p>
        </w:tc>
      </w:tr>
      <w:tr w:rsidR="00317816" w:rsidRPr="00C24D02" w14:paraId="1EFAAF15" w14:textId="77777777" w:rsidTr="003D1A59">
        <w:trPr>
          <w:trHeight w:val="741"/>
        </w:trPr>
        <w:tc>
          <w:tcPr>
            <w:tcW w:w="2405" w:type="dxa"/>
          </w:tcPr>
          <w:p w14:paraId="7239BB4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BD17ED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Odborná interaktivní mapa zranitelnosti kvantity přírodních zdrojů podzemní vody k suchu</w:t>
            </w:r>
          </w:p>
        </w:tc>
      </w:tr>
      <w:tr w:rsidR="00317816" w:rsidRPr="00C24D02" w14:paraId="7B323FF6" w14:textId="77777777" w:rsidTr="003D1A59">
        <w:tc>
          <w:tcPr>
            <w:tcW w:w="2405" w:type="dxa"/>
          </w:tcPr>
          <w:p w14:paraId="121B70F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41C9F11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1.5.</w:t>
            </w:r>
          </w:p>
        </w:tc>
      </w:tr>
      <w:tr w:rsidR="00317816" w:rsidRPr="00C24D02" w14:paraId="7B76BAC9" w14:textId="77777777" w:rsidTr="003D1A59">
        <w:tc>
          <w:tcPr>
            <w:tcW w:w="2405" w:type="dxa"/>
          </w:tcPr>
          <w:p w14:paraId="51CCCD4E"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38ED1CC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051D9982" w14:textId="77777777" w:rsidTr="003D1A59">
        <w:tc>
          <w:tcPr>
            <w:tcW w:w="2405" w:type="dxa"/>
          </w:tcPr>
          <w:p w14:paraId="14E8BAD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1"/>
                <w:rFonts w:asciiTheme="minorHAnsi" w:eastAsia="Calibri" w:hAnsiTheme="minorHAnsi" w:cstheme="minorHAnsi"/>
                <w:b/>
              </w:rPr>
              <w:footnoteReference w:id="163"/>
            </w:r>
            <w:r w:rsidRPr="00C24D02">
              <w:rPr>
                <w:rFonts w:asciiTheme="minorHAnsi" w:eastAsia="Calibri" w:hAnsiTheme="minorHAnsi" w:cstheme="minorHAnsi"/>
              </w:rPr>
              <w:t>)</w:t>
            </w:r>
          </w:p>
        </w:tc>
        <w:tc>
          <w:tcPr>
            <w:tcW w:w="6378" w:type="dxa"/>
          </w:tcPr>
          <w:p w14:paraId="3F5398E7"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3/5/3/4</w:t>
            </w:r>
          </w:p>
        </w:tc>
      </w:tr>
      <w:tr w:rsidR="00317816" w:rsidRPr="00C24D02" w14:paraId="426E2E2B" w14:textId="77777777" w:rsidTr="003D1A59">
        <w:tc>
          <w:tcPr>
            <w:tcW w:w="2405" w:type="dxa"/>
          </w:tcPr>
          <w:p w14:paraId="5B96BD8F"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0F2ECAB"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Námitce nebylo vyhověno</w:t>
            </w:r>
          </w:p>
        </w:tc>
      </w:tr>
    </w:tbl>
    <w:p w14:paraId="17EDFD7E" w14:textId="77777777" w:rsidR="00317816" w:rsidRPr="00C24D02" w:rsidRDefault="00317816" w:rsidP="00317816">
      <w:pPr>
        <w:spacing w:after="144" w:line="360" w:lineRule="auto"/>
        <w:rPr>
          <w:rFonts w:asciiTheme="minorHAnsi" w:hAnsiTheme="minorHAnsi" w:cstheme="minorHAnsi"/>
        </w:rPr>
      </w:pPr>
    </w:p>
    <w:p w14:paraId="20228465"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Společenská relevance výzkumného výstupu (po termínu)</w:t>
      </w:r>
    </w:p>
    <w:p w14:paraId="673DE45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4C6CD82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Lze konstatovat, že autoři hodnocení „Mapy zranitelnosti podzemní vody k suchu včetně metodiky její tvorby“ neprojevili snahu porozumět, jak byla Mapa zranitelnosti konstruována a k jakým účelům by měla sloužit. Opomněli, že podzemní voda tvoří téměř 50 % veškerých zdrojů pitné vody z celkových zdrojů vody využívaných pro zásobování obyvatel pitnou vodou na území ČR a že řada obcí a měst měla v období 2018–2020 problémy s nedostatkem zdrojů podzemní vody. Řada obcí nemá vodovod a často ani žádné záložní zdroje pitné vody. Mimochodem výše uvedená mapa koreluje i s databází https://www.narodniprogramzp.cz/dokumenty/detail/?id=465, což je seznamu prověřených obcí k programu Dešťovka suchých obcí. </w:t>
      </w:r>
    </w:p>
    <w:p w14:paraId="06AD637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 xml:space="preserve">Dlouhodobé období sucha na území ČR, které se už v roce 2015 zařadilo mezi historicky nejvýznamnější epizody sucha na našem území a stupňovalo se i v následujících letech až do roku 2020, vyvolalo požadavek koordinovat potřebná opatření pro řešení problematiky na území ČR. K tomu vláda ČR na podnět Ministerstva zemědělství a Ministerstva životního prostředí schválila následující dokumenty: </w:t>
      </w:r>
    </w:p>
    <w:p w14:paraId="44CE1D3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„Přípravu realizace opatření pro zmírnění negativních dopadů sucha a nedostatku vody“ (schváleno usnesením vlády č. 620 dne 29. července 2015), </w:t>
      </w:r>
    </w:p>
    <w:p w14:paraId="3243449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„Koncepci ochrany před následky sucha pro území České republiky“ (schválena usnesením vlády č. 528 ze 24. července 2017“ a po předložení „Zprávy o plnění Koncepce ochrany před následky sucha pro území České republiky za období 2017–2022“ přijata upravená verze „Koncepce ochrany před následky sucha pro území České republiky na období 2023–2027“ (schválena usnesením vlády č. 354 ze dne 17. května 2023) </w:t>
      </w:r>
    </w:p>
    <w:p w14:paraId="59AAE92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 „Strategii přizpůsobení se změně klimatu v podmínkách ČR“ (aktualizace schválena usnesením vlády ČR č. 785 ze dne 13. října 2021 a Národní akční plán adaptace na změnu klimatu (schválen současně s Adaptační strategií v roce 2021) </w:t>
      </w:r>
    </w:p>
    <w:p w14:paraId="0CBFAC5B"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Pro operativní řešení sucha pak zákonem č. 544/2020 Sb., kterým se mění zákon č. 254/2001 Sb., o vodách a o změně některých zákonů (vodní zákon), ve znění pozdějších předpisů, a další související zákony, byla přijata nová hlava zákona „Zvládání sucha a stavu nedostatku vody“, která mimo jiné řeší plány pro zvládání sucha a stavu nedostatku vody na krajské a centrální úrovni. </w:t>
      </w:r>
    </w:p>
    <w:p w14:paraId="3043C61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Pro objektivní hodnocení současného stavu a možného budoucího ovlivnění vodních zdrojů s ohledem na klimatickou změnu a vývoje potřeb nových odběrů vody bylo potřebné sjednotit podklady za celou ČR. To se v oblasti podzemních vod podařilo vytvořením metodiky a následně zpracováním „Mapy zranitelnosti kvantity přírodních zdrojů podzemní vody k suchu pro území ČR“. </w:t>
      </w:r>
    </w:p>
    <w:p w14:paraId="331378E9"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Mapa zranitelnosti umožňuje přípravu a realizaci opatření, která zajistí dostatek vodních zdrojů i v obdobích dlouhodobého sucha. Kritiku hodnotitelů by bylo možno přijmout, pokud by existoval jiný, dokonalejší podklad nebo kdyby hodnocený podklad nebyl použitelný. </w:t>
      </w:r>
    </w:p>
    <w:p w14:paraId="0D12559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lastRenderedPageBreak/>
        <w:t>Autoři hodnocení opomněli, že realizace opatření zajišťujících zadržení vody v krajině, případně vybudování přivaděče vody ze vzdálenějších vodních zdrojů, trvá zpravidla řadu let a že přírodní zdroje podzemní vody jsou proměnné v čase. Většinu území ČR tvoří horniny, které mají nízkou schopnost akumulovat větší zásoby podzemní vody na delší dobu a většina podzemní vody z našeho území odtéká.</w:t>
      </w:r>
    </w:p>
    <w:p w14:paraId="136A5E9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„Mapa zranitelnosti kvantity přírodních zdrojů podzemní vody k suchu pro území ČR“ má z celospolečenského hlediska a na základě ocenění TA ČR </w:t>
      </w:r>
      <w:r w:rsidRPr="00C24D02">
        <w:rPr>
          <w:rFonts w:asciiTheme="minorHAnsi" w:hAnsiTheme="minorHAnsi" w:cstheme="minorHAnsi"/>
          <w:b/>
          <w:bCs/>
        </w:rPr>
        <w:t>zásadní význam</w:t>
      </w:r>
      <w:r w:rsidRPr="00C24D02">
        <w:rPr>
          <w:rFonts w:asciiTheme="minorHAnsi" w:hAnsiTheme="minorHAnsi" w:cstheme="minorHAnsi"/>
        </w:rPr>
        <w:t xml:space="preserve">, </w:t>
      </w:r>
      <w:r w:rsidRPr="00C24D02">
        <w:rPr>
          <w:rFonts w:asciiTheme="minorHAnsi" w:hAnsiTheme="minorHAnsi" w:cstheme="minorHAnsi"/>
          <w:b/>
          <w:bCs/>
        </w:rPr>
        <w:t xml:space="preserve">resp. vysoký aplikační potenciál, neboť umožňuje objektivní plánování využívání stávajících i budoucích nových vodních zdrojů, cílení dotačních programů zajišťujících tyto zdroje a další eliminační opatření v oblasti hospodaření s podzemní vodou, včetně řízené dotace a zadržení vody v krajině. Dostatek podzemní vody je zcela zásadní pro životní prostředí a kvalitu života. </w:t>
      </w:r>
      <w:r w:rsidRPr="00C24D02">
        <w:rPr>
          <w:rFonts w:asciiTheme="minorHAnsi" w:hAnsiTheme="minorHAnsi" w:cstheme="minorHAnsi"/>
        </w:rPr>
        <w:t xml:space="preserve"> </w:t>
      </w:r>
    </w:p>
    <w:p w14:paraId="72BCA84A"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Vyjádření garanta není požadováno </w:t>
      </w:r>
    </w:p>
    <w:p w14:paraId="4A91175E"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bCs/>
        </w:rPr>
        <w:t>Vyjádření panelu není požadováno z důvodu doručení námitky po termínu.</w:t>
      </w:r>
      <w:r w:rsidRPr="00C24D02">
        <w:rPr>
          <w:rFonts w:asciiTheme="minorHAnsi" w:hAnsiTheme="minorHAnsi" w:cstheme="minorHAnsi"/>
          <w:bCs/>
          <w:u w:val="single"/>
        </w:rPr>
        <w:t xml:space="preserve"> </w:t>
      </w:r>
    </w:p>
    <w:p w14:paraId="3B3A4DFC"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Rada pro výzkum, vývoj a inovace na svém 414. zasedání schválila výstupy z hodnocení v Modulu 1 a 2 a zveřejnila výzvu pro výzkumné organizace k zaslání zpětné vazby s termínem do 24. října 2025. </w:t>
      </w:r>
    </w:p>
    <w:p w14:paraId="46CE9869"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Cs/>
        </w:rPr>
        <w:t xml:space="preserve">Námitka vaší výzkumné organizace se zamítá z důvodu nedodržení termínu pro podání námitek. </w:t>
      </w:r>
    </w:p>
    <w:p w14:paraId="3759E2A7" w14:textId="06F5800D"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se zamítnutím námitky z procesních důvodů.</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1E20F122" w14:textId="77777777" w:rsidTr="003D1A59">
        <w:tc>
          <w:tcPr>
            <w:tcW w:w="2405" w:type="dxa"/>
          </w:tcPr>
          <w:p w14:paraId="0E58F903"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0655A17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Výzkumný ústav vodohospodářský</w:t>
            </w:r>
          </w:p>
        </w:tc>
      </w:tr>
      <w:tr w:rsidR="00317816" w:rsidRPr="00C24D02" w14:paraId="1C121D4E" w14:textId="77777777" w:rsidTr="003D1A59">
        <w:tc>
          <w:tcPr>
            <w:tcW w:w="2405" w:type="dxa"/>
          </w:tcPr>
          <w:p w14:paraId="70CF6C15"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0724D7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192240536</w:t>
            </w:r>
          </w:p>
        </w:tc>
      </w:tr>
      <w:tr w:rsidR="00317816" w:rsidRPr="00C24D02" w14:paraId="789A5C80" w14:textId="77777777" w:rsidTr="003D1A59">
        <w:trPr>
          <w:trHeight w:val="741"/>
        </w:trPr>
        <w:tc>
          <w:tcPr>
            <w:tcW w:w="2405" w:type="dxa"/>
          </w:tcPr>
          <w:p w14:paraId="7DFAFBB8"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097BF80"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Hodnocení eutrofizačního potenciálu zdrojů znečištění - podrobný model - VSTOOLS.EUTRO-FOCUS</w:t>
            </w:r>
          </w:p>
        </w:tc>
      </w:tr>
      <w:tr w:rsidR="00317816" w:rsidRPr="00C24D02" w14:paraId="54BC4427" w14:textId="77777777" w:rsidTr="003D1A59">
        <w:tc>
          <w:tcPr>
            <w:tcW w:w="2405" w:type="dxa"/>
          </w:tcPr>
          <w:p w14:paraId="54DB93E2"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06C528D6"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1.5.</w:t>
            </w:r>
          </w:p>
        </w:tc>
      </w:tr>
      <w:tr w:rsidR="00317816" w:rsidRPr="00C24D02" w14:paraId="50449529" w14:textId="77777777" w:rsidTr="003D1A59">
        <w:tc>
          <w:tcPr>
            <w:tcW w:w="2405" w:type="dxa"/>
          </w:tcPr>
          <w:p w14:paraId="558F5EAA"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782F7912"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SR</w:t>
            </w:r>
          </w:p>
        </w:tc>
      </w:tr>
      <w:tr w:rsidR="00317816" w:rsidRPr="00C24D02" w14:paraId="7083AA10" w14:textId="77777777" w:rsidTr="003D1A59">
        <w:tc>
          <w:tcPr>
            <w:tcW w:w="2405" w:type="dxa"/>
          </w:tcPr>
          <w:p w14:paraId="721B15D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lastRenderedPageBreak/>
              <w:t>Navržené známky (H1/H2/H3/</w:t>
            </w:r>
            <w:r w:rsidRPr="00C24D02">
              <w:rPr>
                <w:rFonts w:asciiTheme="minorHAnsi" w:eastAsia="Calibri" w:hAnsiTheme="minorHAnsi" w:cstheme="minorHAnsi"/>
                <w:b/>
              </w:rPr>
              <w:t>P</w:t>
            </w:r>
            <w:r w:rsidRPr="00C24D02">
              <w:rPr>
                <w:rStyle w:val="Znakapoznpodarou1"/>
                <w:rFonts w:asciiTheme="minorHAnsi" w:eastAsia="Calibri" w:hAnsiTheme="minorHAnsi" w:cstheme="minorHAnsi"/>
                <w:b/>
              </w:rPr>
              <w:footnoteReference w:id="164"/>
            </w:r>
            <w:r w:rsidRPr="00C24D02">
              <w:rPr>
                <w:rFonts w:asciiTheme="minorHAnsi" w:eastAsia="Calibri" w:hAnsiTheme="minorHAnsi" w:cstheme="minorHAnsi"/>
              </w:rPr>
              <w:t>)</w:t>
            </w:r>
          </w:p>
        </w:tc>
        <w:tc>
          <w:tcPr>
            <w:tcW w:w="6378" w:type="dxa"/>
          </w:tcPr>
          <w:p w14:paraId="1421D20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3/4/-/4</w:t>
            </w:r>
          </w:p>
        </w:tc>
      </w:tr>
      <w:tr w:rsidR="00317816" w:rsidRPr="00C24D02" w14:paraId="6B72468C" w14:textId="77777777" w:rsidTr="003D1A59">
        <w:tc>
          <w:tcPr>
            <w:tcW w:w="2405" w:type="dxa"/>
          </w:tcPr>
          <w:p w14:paraId="06201F41"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195BA269" w14:textId="77777777" w:rsidR="00317816" w:rsidRPr="00C24D02" w:rsidRDefault="00317816" w:rsidP="003D1A59">
            <w:pPr>
              <w:widowControl w:val="0"/>
              <w:spacing w:after="144" w:line="360" w:lineRule="auto"/>
              <w:rPr>
                <w:rFonts w:asciiTheme="minorHAnsi" w:eastAsia="Calibri" w:hAnsiTheme="minorHAnsi" w:cstheme="minorHAnsi"/>
                <w:b/>
              </w:rPr>
            </w:pPr>
            <w:r w:rsidRPr="00C24D02">
              <w:rPr>
                <w:rFonts w:asciiTheme="minorHAnsi" w:eastAsia="Calibri" w:hAnsiTheme="minorHAnsi" w:cstheme="minorHAnsi"/>
                <w:b/>
              </w:rPr>
              <w:t>Námitce nebylo vyhověno</w:t>
            </w:r>
          </w:p>
        </w:tc>
      </w:tr>
    </w:tbl>
    <w:p w14:paraId="1A094FBD" w14:textId="77777777" w:rsidR="00317816" w:rsidRPr="00C24D02" w:rsidRDefault="00317816" w:rsidP="00317816">
      <w:pPr>
        <w:spacing w:after="144" w:line="360" w:lineRule="auto"/>
        <w:rPr>
          <w:rFonts w:asciiTheme="minorHAnsi" w:hAnsiTheme="minorHAnsi" w:cstheme="minorHAnsi"/>
        </w:rPr>
      </w:pPr>
    </w:p>
    <w:p w14:paraId="7244C845"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Námitka: Proti posudkům – po termínu</w:t>
      </w:r>
    </w:p>
    <w:p w14:paraId="53C3EB43"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1E254E45"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Protože není nikde uveden termín zveřejnění, činíme tak do 30 dnů od zjištění, že bylo zveřejněno hodnocení za rok 2023 (H24). </w:t>
      </w:r>
    </w:p>
    <w:p w14:paraId="18387A3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Z hodnocení prvního oponenta výše uvedeného výsledku ev. č. 192240536 nevyplývají žádné skutečnosti, které by snižovaly hodnotu posuzovaného výsledků a potvrzují ekonomický přínos výsledku i pozitivní dopad na společnost. </w:t>
      </w:r>
    </w:p>
    <w:p w14:paraId="49B679CF"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Kriticky se k výsledu vyjadřuje druhý oponent, který vytýká výsledku zejména nezohlednění teplotní závislosti rozpadové konstanty ve výpočtu rozkladu fosforečnanového fosforu a dále také chybějící popis kalibrace a validace modelu. </w:t>
      </w:r>
    </w:p>
    <w:p w14:paraId="786BD98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K připomínkám uvádíme, že zohlednění teplotní závislosti při výpočtu změn obsahu fosforu je logické v případě fyzikálně založených modelů, které postihují maximum probíhajících procesů a které jsou obvykle využívány pro simulace v malém měřítku dílčích částí toků nebo menších povodí. Předložený výsledek oproti tomu představuje bilanční model, který je založen na jiném principu než podrobné fyzikální modely. Jeho podstatou je bilancování toků fosforu z jednotlivých zdrojů v rámci rozsáhlého povodí a zahrnutí základní transformace fosforu ve vodních nádržích podle empirických závislostí založených na publikovaných rovnicích z prací Vollenweidera et Kerekes (1982) a Hejzlara et al. (2006) ve vodních tocích při zohlednění rovnice rozkladu prvního řádu. Tento princip je využíván v řadě bilančních modelů jiných autorů a původců a s dostatečnou přesností interpretuje reálné procesy v povodí. Větší nejistotu v modelování z tohoto pohledu představuje spíše kvalita vstupních dat o zdrojích a absence podrobnějších podkladů o průtocích v říční síti a data o objemech zejména menších </w:t>
      </w:r>
      <w:r w:rsidRPr="00C24D02">
        <w:rPr>
          <w:rFonts w:asciiTheme="minorHAnsi" w:hAnsiTheme="minorHAnsi" w:cstheme="minorHAnsi"/>
        </w:rPr>
        <w:lastRenderedPageBreak/>
        <w:t xml:space="preserve">průtočných nádrží. Připomínka k nezohlednění teplotní závislosti rozpadové konstanty ve výpočtu rozkladu fosforečnanového fosforu je proto irelevantní. </w:t>
      </w:r>
    </w:p>
    <w:p w14:paraId="5C842BDD"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K připomínce chybějící kalibrace a validace uvádíme, že vyvinutý model byl podrobně kalibrován na základě ročních podrobných měření na vybraných tocích na území hlavního města Prahy a v částech povodí, která tvoří zdrojové oblasti těchto toků mimo Prahu. Podrobně byly sledovány transformace fosforu ve vodních nádržích na tocích a získané výsledky byly implementovány do výpočetních algoritmů modelu. Na základě kalibrace byly upraveny zejména koeficienty v rovnici pro retenci fosforečnanového fosforu v nádržích. Validace upraveného modelu probíhala na části toků, pro které byly k dispozici pouze výsledky monitoringu kvality vody na území Prahy a pak také v dalších pilotních povodích mimo území, na kterém byl model testován. Shoda měřených a simulovaných výsledků byla velmi dobrá. V některých případech byla negativně ovlivněna kvalitou vstupních dat o průtocích, případně o zdrojích znečištění. Tyto limitující podmínky v datech omezují získané výsledky výrazněji než případná teplotní závislost rozkladu fosforu v tocích a nádržích. </w:t>
      </w:r>
    </w:p>
    <w:p w14:paraId="55939CD1"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Unikátnost modelu, kterou druhý oponent v posudku sice zmínil, ale ve výsledku vůbec nezohlednil, je schopnost modelu simulovat jednotlivé zdroje samostatně v říční síti a k libovolnému kontrolnímu profilu sestavovat žebříčky významnosti zdrojů. Tato funkcionalita modelu je zcela zásadní pro navrhování klíčových opatření ke snížení rizika eutrofizace vodních toků a nádrží a efektivnímu vynakládání finančních prostředků ke snížení znečištění ze zdrojů v plánech povodí. </w:t>
      </w:r>
    </w:p>
    <w:p w14:paraId="1AF3EE78" w14:textId="77777777" w:rsidR="00317816" w:rsidRPr="00C24D02" w:rsidRDefault="00317816" w:rsidP="00317816">
      <w:pPr>
        <w:spacing w:after="144" w:line="360" w:lineRule="auto"/>
        <w:ind w:firstLine="357"/>
        <w:jc w:val="both"/>
        <w:rPr>
          <w:rFonts w:asciiTheme="minorHAnsi" w:hAnsiTheme="minorHAnsi" w:cstheme="minorHAnsi"/>
        </w:rPr>
      </w:pPr>
      <w:r w:rsidRPr="00C24D02">
        <w:rPr>
          <w:rFonts w:asciiTheme="minorHAnsi" w:hAnsiTheme="minorHAnsi" w:cstheme="minorHAnsi"/>
        </w:rPr>
        <w:t xml:space="preserve">Na základě výše uvedeného si dovolujeme požádat o úpravu hodnocení výsledku.  </w:t>
      </w:r>
    </w:p>
    <w:p w14:paraId="1B1044B1"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Vyjádření garanta není požadováno </w:t>
      </w:r>
    </w:p>
    <w:p w14:paraId="5A27FEA2"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bCs/>
        </w:rPr>
        <w:t>Vyjádření panelu není požadováno z důvodu doručení výsledku po termínu.</w:t>
      </w:r>
      <w:r w:rsidRPr="00C24D02">
        <w:rPr>
          <w:rFonts w:asciiTheme="minorHAnsi" w:hAnsiTheme="minorHAnsi" w:cstheme="minorHAnsi"/>
          <w:bCs/>
          <w:u w:val="single"/>
        </w:rPr>
        <w:t xml:space="preserve"> </w:t>
      </w:r>
    </w:p>
    <w:p w14:paraId="4B607FDE"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hAnsiTheme="minorHAnsi" w:cstheme="minorHAnsi"/>
          <w:b/>
          <w:u w:val="single"/>
        </w:rPr>
        <w:t>:</w:t>
      </w:r>
      <w:r w:rsidRPr="00C24D02">
        <w:rPr>
          <w:rFonts w:asciiTheme="minorHAnsi" w:hAnsiTheme="minorHAnsi" w:cstheme="minorHAnsi"/>
          <w:bCs/>
        </w:rPr>
        <w:t xml:space="preserve"> Rada pro výzkum, vývoj a inovace na svém 414. zasedání schválila výstupy z hodnocení v Modulu 1 a 2 a zveřejnila výzvu pro výzkumné organizace k zaslání zpětné vazby s termínem do 24. října 2025. Námitka vaší výzkumné organizace se zamítá z důvodu nedodržení termínu pro podání námitek. </w:t>
      </w:r>
    </w:p>
    <w:p w14:paraId="50163A85"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souhlasí se zamítnutím námitky z procesních důvodů.</w:t>
      </w:r>
    </w:p>
    <w:p w14:paraId="17F74280" w14:textId="1D8A1567" w:rsidR="00317816" w:rsidRPr="00C24D02" w:rsidRDefault="00317816">
      <w:pPr>
        <w:suppressAutoHyphens w:val="0"/>
        <w:spacing w:after="160" w:line="259" w:lineRule="auto"/>
        <w:rPr>
          <w:rFonts w:asciiTheme="minorHAnsi" w:hAnsiTheme="minorHAnsi" w:cstheme="minorHAnsi"/>
        </w:rPr>
      </w:pPr>
      <w:r w:rsidRPr="00C24D02">
        <w:rPr>
          <w:rFonts w:asciiTheme="minorHAnsi" w:hAnsiTheme="minorHAnsi" w:cstheme="minorHAnsi"/>
        </w:rPr>
        <w:lastRenderedPageBreak/>
        <w:br w:type="page"/>
      </w:r>
    </w:p>
    <w:p w14:paraId="12BD1921" w14:textId="5B9669C8" w:rsidR="00317816" w:rsidRPr="00D054AE" w:rsidRDefault="00317816" w:rsidP="00317816">
      <w:pPr>
        <w:pStyle w:val="Nadpis1"/>
        <w:numPr>
          <w:ilvl w:val="0"/>
          <w:numId w:val="1"/>
        </w:numPr>
        <w:spacing w:before="480" w:after="480" w:line="360" w:lineRule="auto"/>
        <w:ind w:left="714" w:hanging="357"/>
        <w:rPr>
          <w:rFonts w:asciiTheme="minorHAnsi" w:hAnsiTheme="minorHAnsi" w:cstheme="minorHAnsi"/>
          <w:sz w:val="22"/>
          <w:szCs w:val="22"/>
        </w:rPr>
      </w:pPr>
      <w:bookmarkStart w:id="58" w:name="_Toc221799823"/>
      <w:r w:rsidRPr="00C24D02">
        <w:rPr>
          <w:rFonts w:asciiTheme="minorHAnsi" w:hAnsiTheme="minorHAnsi" w:cstheme="minorHAnsi"/>
          <w:sz w:val="22"/>
          <w:szCs w:val="22"/>
        </w:rPr>
        <w:lastRenderedPageBreak/>
        <w:t>Obecné námitky proti procesu hodnocení</w:t>
      </w:r>
      <w:bookmarkEnd w:id="58"/>
      <w:r w:rsidRPr="00C24D02">
        <w:rPr>
          <w:rFonts w:asciiTheme="minorHAnsi" w:hAnsiTheme="minorHAnsi" w:cstheme="minorHAnsi"/>
          <w:sz w:val="22"/>
          <w:szCs w:val="22"/>
        </w:rPr>
        <w:t xml:space="preserve"> </w:t>
      </w:r>
    </w:p>
    <w:tbl>
      <w:tblPr>
        <w:tblStyle w:val="Mkatabulky"/>
        <w:tblW w:w="8784" w:type="dxa"/>
        <w:tblInd w:w="113" w:type="dxa"/>
        <w:tblLayout w:type="fixed"/>
        <w:tblLook w:val="04A0" w:firstRow="1" w:lastRow="0" w:firstColumn="1" w:lastColumn="0" w:noHBand="0" w:noVBand="1"/>
      </w:tblPr>
      <w:tblGrid>
        <w:gridCol w:w="2405"/>
        <w:gridCol w:w="6379"/>
      </w:tblGrid>
      <w:tr w:rsidR="00317816" w:rsidRPr="00C24D02" w14:paraId="6556B6E7" w14:textId="77777777" w:rsidTr="003D1A59">
        <w:tc>
          <w:tcPr>
            <w:tcW w:w="2405" w:type="dxa"/>
          </w:tcPr>
          <w:p w14:paraId="7B79C72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Instituce</w:t>
            </w:r>
          </w:p>
        </w:tc>
        <w:tc>
          <w:tcPr>
            <w:tcW w:w="6378" w:type="dxa"/>
          </w:tcPr>
          <w:p w14:paraId="09D9030D"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Západočeská univerzita v Plzni-Fakulta aplikovaných věd</w:t>
            </w:r>
          </w:p>
        </w:tc>
      </w:tr>
      <w:tr w:rsidR="00317816" w:rsidRPr="00C24D02" w14:paraId="54AD7490" w14:textId="77777777" w:rsidTr="003D1A59">
        <w:tc>
          <w:tcPr>
            <w:tcW w:w="2405" w:type="dxa"/>
          </w:tcPr>
          <w:p w14:paraId="4AB3AA10"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Evidenční číslo</w:t>
            </w:r>
          </w:p>
        </w:tc>
        <w:tc>
          <w:tcPr>
            <w:tcW w:w="6378" w:type="dxa"/>
          </w:tcPr>
          <w:p w14:paraId="69900219"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192390042</w:t>
            </w:r>
          </w:p>
        </w:tc>
      </w:tr>
      <w:tr w:rsidR="00317816" w:rsidRPr="00C24D02" w14:paraId="17B4E541" w14:textId="77777777" w:rsidTr="003D1A59">
        <w:trPr>
          <w:trHeight w:val="741"/>
        </w:trPr>
        <w:tc>
          <w:tcPr>
            <w:tcW w:w="2405" w:type="dxa"/>
          </w:tcPr>
          <w:p w14:paraId="1D5D9F57"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Název</w:t>
            </w:r>
          </w:p>
        </w:tc>
        <w:tc>
          <w:tcPr>
            <w:tcW w:w="6378" w:type="dxa"/>
          </w:tcPr>
          <w:p w14:paraId="2BB69D14"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Geometry and tool motion planning for curvature adapted CNC machining</w:t>
            </w:r>
          </w:p>
        </w:tc>
      </w:tr>
      <w:tr w:rsidR="00317816" w:rsidRPr="00C24D02" w14:paraId="4820E6A5" w14:textId="77777777" w:rsidTr="003D1A59">
        <w:tc>
          <w:tcPr>
            <w:tcW w:w="2405" w:type="dxa"/>
          </w:tcPr>
          <w:p w14:paraId="11CBB20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FORD</w:t>
            </w:r>
          </w:p>
        </w:tc>
        <w:tc>
          <w:tcPr>
            <w:tcW w:w="6378" w:type="dxa"/>
          </w:tcPr>
          <w:p w14:paraId="4E7A627B"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1.1.</w:t>
            </w:r>
          </w:p>
        </w:tc>
      </w:tr>
      <w:tr w:rsidR="00317816" w:rsidRPr="00C24D02" w14:paraId="21A1935F" w14:textId="77777777" w:rsidTr="003D1A59">
        <w:tc>
          <w:tcPr>
            <w:tcW w:w="2405" w:type="dxa"/>
          </w:tcPr>
          <w:p w14:paraId="313D193D"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Kritérium (PP/SR)</w:t>
            </w:r>
          </w:p>
        </w:tc>
        <w:tc>
          <w:tcPr>
            <w:tcW w:w="6378" w:type="dxa"/>
          </w:tcPr>
          <w:p w14:paraId="0FFE1613"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PP</w:t>
            </w:r>
          </w:p>
        </w:tc>
      </w:tr>
      <w:tr w:rsidR="00317816" w:rsidRPr="00C24D02" w14:paraId="58294FD3" w14:textId="77777777" w:rsidTr="003D1A59">
        <w:tc>
          <w:tcPr>
            <w:tcW w:w="2405" w:type="dxa"/>
          </w:tcPr>
          <w:p w14:paraId="4E9F6D64"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Navržené známky (H1/H2/H3/</w:t>
            </w:r>
            <w:r w:rsidRPr="00C24D02">
              <w:rPr>
                <w:rFonts w:asciiTheme="minorHAnsi" w:eastAsia="Calibri" w:hAnsiTheme="minorHAnsi" w:cstheme="minorHAnsi"/>
                <w:b/>
              </w:rPr>
              <w:t>P</w:t>
            </w:r>
            <w:r w:rsidRPr="00C24D02">
              <w:rPr>
                <w:rStyle w:val="Znakapoznpodarou1"/>
                <w:rFonts w:asciiTheme="minorHAnsi" w:eastAsia="Calibri" w:hAnsiTheme="minorHAnsi" w:cstheme="minorHAnsi"/>
                <w:b/>
              </w:rPr>
              <w:footnoteReference w:id="165"/>
            </w:r>
            <w:r w:rsidRPr="00C24D02">
              <w:rPr>
                <w:rFonts w:asciiTheme="minorHAnsi" w:eastAsia="Calibri" w:hAnsiTheme="minorHAnsi" w:cstheme="minorHAnsi"/>
              </w:rPr>
              <w:t>)</w:t>
            </w:r>
          </w:p>
        </w:tc>
        <w:tc>
          <w:tcPr>
            <w:tcW w:w="6378" w:type="dxa"/>
          </w:tcPr>
          <w:p w14:paraId="553472EA" w14:textId="77777777" w:rsidR="00317816" w:rsidRPr="00C24D02" w:rsidRDefault="00317816" w:rsidP="003D1A59">
            <w:pPr>
              <w:spacing w:after="144" w:line="360" w:lineRule="auto"/>
              <w:jc w:val="both"/>
              <w:rPr>
                <w:rFonts w:asciiTheme="minorHAnsi" w:eastAsia="Calibri" w:hAnsiTheme="minorHAnsi" w:cstheme="minorHAnsi"/>
              </w:rPr>
            </w:pPr>
            <w:r w:rsidRPr="00C24D02">
              <w:rPr>
                <w:rFonts w:asciiTheme="minorHAnsi" w:eastAsia="Calibri" w:hAnsiTheme="minorHAnsi" w:cstheme="minorHAnsi"/>
              </w:rPr>
              <w:t>-/-/-/5</w:t>
            </w:r>
          </w:p>
        </w:tc>
      </w:tr>
      <w:tr w:rsidR="00317816" w:rsidRPr="00C24D02" w14:paraId="17276E42" w14:textId="77777777" w:rsidTr="003D1A59">
        <w:tc>
          <w:tcPr>
            <w:tcW w:w="2405" w:type="dxa"/>
          </w:tcPr>
          <w:p w14:paraId="43E8432B" w14:textId="77777777" w:rsidR="00317816" w:rsidRPr="00C24D02" w:rsidRDefault="00317816" w:rsidP="003D1A59">
            <w:pPr>
              <w:spacing w:after="144" w:line="360" w:lineRule="auto"/>
              <w:rPr>
                <w:rFonts w:asciiTheme="minorHAnsi" w:eastAsia="Calibri" w:hAnsiTheme="minorHAnsi" w:cstheme="minorHAnsi"/>
              </w:rPr>
            </w:pPr>
            <w:r w:rsidRPr="00C24D02">
              <w:rPr>
                <w:rFonts w:asciiTheme="minorHAnsi" w:eastAsia="Calibri" w:hAnsiTheme="minorHAnsi" w:cstheme="minorHAnsi"/>
              </w:rPr>
              <w:t>Návrh rozhodnutí Rady</w:t>
            </w:r>
          </w:p>
        </w:tc>
        <w:tc>
          <w:tcPr>
            <w:tcW w:w="6378" w:type="dxa"/>
          </w:tcPr>
          <w:p w14:paraId="4065A994" w14:textId="77777777" w:rsidR="00317816" w:rsidRPr="00C24D02" w:rsidRDefault="00317816" w:rsidP="003D1A59">
            <w:pPr>
              <w:rPr>
                <w:rFonts w:asciiTheme="minorHAnsi" w:eastAsia="Calibri" w:hAnsiTheme="minorHAnsi" w:cstheme="minorHAnsi"/>
                <w:b/>
              </w:rPr>
            </w:pPr>
            <w:r w:rsidRPr="00C24D02">
              <w:rPr>
                <w:rFonts w:asciiTheme="minorHAnsi" w:eastAsia="Calibri" w:hAnsiTheme="minorHAnsi" w:cstheme="minorHAnsi"/>
                <w:b/>
              </w:rPr>
              <w:t>Námitka byla akceptována částečně, výsledek vrátit do hodnocení</w:t>
            </w:r>
          </w:p>
        </w:tc>
      </w:tr>
    </w:tbl>
    <w:p w14:paraId="5EBD8522" w14:textId="77777777" w:rsidR="00317816" w:rsidRPr="00C24D02" w:rsidRDefault="00317816" w:rsidP="00317816">
      <w:pPr>
        <w:spacing w:after="144" w:line="360" w:lineRule="auto"/>
        <w:rPr>
          <w:rFonts w:asciiTheme="minorHAnsi" w:hAnsiTheme="minorHAnsi" w:cstheme="minorHAnsi"/>
        </w:rPr>
      </w:pPr>
    </w:p>
    <w:p w14:paraId="27A95B2B" w14:textId="77777777" w:rsidR="00317816" w:rsidRPr="00C24D02" w:rsidRDefault="00317816" w:rsidP="00317816">
      <w:pPr>
        <w:spacing w:after="144" w:line="360" w:lineRule="auto"/>
        <w:jc w:val="both"/>
        <w:rPr>
          <w:rFonts w:asciiTheme="minorHAnsi" w:hAnsiTheme="minorHAnsi" w:cstheme="minorHAnsi"/>
          <w:b/>
        </w:rPr>
      </w:pPr>
      <w:r w:rsidRPr="00C24D02">
        <w:rPr>
          <w:rFonts w:asciiTheme="minorHAnsi" w:hAnsiTheme="minorHAnsi" w:cstheme="minorHAnsi"/>
          <w:b/>
        </w:rPr>
        <w:t>Sdělení: Proti procesu hodnocení</w:t>
      </w:r>
    </w:p>
    <w:p w14:paraId="271B5717"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b/>
        </w:rPr>
        <w:t xml:space="preserve">Odůvodnění námitky </w:t>
      </w:r>
      <w:r w:rsidRPr="00C24D02">
        <w:rPr>
          <w:rFonts w:asciiTheme="minorHAnsi" w:eastAsia="Calibri" w:hAnsiTheme="minorHAnsi" w:cstheme="minorHAnsi"/>
          <w:b/>
        </w:rPr>
        <w:t>výzkumné organizace</w:t>
      </w:r>
      <w:r w:rsidRPr="00C24D02">
        <w:rPr>
          <w:rFonts w:asciiTheme="minorHAnsi" w:hAnsiTheme="minorHAnsi" w:cstheme="minorHAnsi"/>
          <w:b/>
        </w:rPr>
        <w:t xml:space="preserve">: </w:t>
      </w:r>
    </w:p>
    <w:p w14:paraId="5EE8D85B"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rPr>
        <w:t>z pověření prorektora pro tvůrčí činnost a doktorské studium Západočeské univerzity v Plzni doc. Ing. Jiřího Hammerbauera, Ph.D., a v návaznosti na podané námitky k hodnocení výsledků v modulu M1 ve vědním oboru 1. Natural Sciences – 1.1 Mathematics si dovolujeme Vaším prostřednictvím podat formální protest vůči postupu Panelisty Garanta, resp. vůči jeho způsobu hodnocení. Panelista Garant, prof. RNDr. Marek Lampart, Ph.D., vědní oblasti Mathematics 1.1 u několika výsledků navrhl hodnocení známkou 5, aniž by tyto výsledky případně postoupil k posouzení hodnotitelům s odpovídající specializací a kompetencemi. Své rozhodnutí odůvodňoval subjektivním dojmem, že předložené výstupy nepředstavují matematický výzkum, pokud byly spojeny i s jinou oblastí výzkumu. Námi předložený výsledek, kterého se formální protest vůči postupu Panelisty Garanta, je Geometry and tool motion planning for curvature adapted CNC machining (2021)  &lt;</w:t>
      </w:r>
      <w:hyperlink r:id="rId8" w:tooltip="Původní adresa URL: https://www.isvavai.cz/riv?s=jednoduche-vyhledavani&amp;ss=detail&amp;h=RIV%2F49777513%3A23520%2F21%3A43962468%21RIV22-MSM-23520___. Na tento odkaz klikněte nebo klepněte, pokud ho považujete za důvěryhodný." w:history="1">
        <w:r w:rsidRPr="00C24D02">
          <w:rPr>
            <w:rStyle w:val="Hypertextovodkaz"/>
            <w:rFonts w:asciiTheme="minorHAnsi" w:hAnsiTheme="minorHAnsi" w:cstheme="minorHAnsi"/>
          </w:rPr>
          <w:t>https://eur04.safelinks.protection.outlook.com/?url=https%3A%2F%2Fwww.isvavai.cz%2Fr</w:t>
        </w:r>
        <w:r w:rsidRPr="00C24D02">
          <w:rPr>
            <w:rStyle w:val="Hypertextovodkaz"/>
            <w:rFonts w:asciiTheme="minorHAnsi" w:hAnsiTheme="minorHAnsi" w:cstheme="minorHAnsi"/>
          </w:rPr>
          <w:lastRenderedPageBreak/>
          <w:t>iv%3Fs%3Djednoduche-vyhledavani%26ss%3Ddetail%26h%3DRIV%252F49777513%253A23520%252F21%253A43962468%2521RIV22-MSM-23520___&amp;data=05%7C02%7Chodnocenivavai%40vlada.gov.cz%7Ceea0a0bd343c4053da7208de3895676d%7C29292cca67184b9aa0366a2467c9b190%7C0%7C0%7C639010411542705514%7CUnknown%7CTWFpbGZsb3d8eyJFbXB0eU1hcGkiOnRydWUsIlYiOiIwLjAuMDAwMCIsIlAiOiJXaW4zMiIsIkFOIjoiTWFpbCIsIldUIjoyfQ%3D%3D%7C0%7C%7C%7C&amp;sdata=LPNGKaPF879a4wuOC%2F1kdafsHZghD8x4F%2BusY15uyAs%3D&amp;reserved=0</w:t>
        </w:r>
      </w:hyperlink>
      <w:r w:rsidRPr="00C24D02">
        <w:rPr>
          <w:rFonts w:asciiTheme="minorHAnsi" w:hAnsiTheme="minorHAnsi" w:cstheme="minorHAnsi"/>
        </w:rPr>
        <w:t>&gt;. Postup hodnocení výsledků v rámci Modulu M1, který byl prezentován i na pravidelných workshopech a konferencích k Metodice M17+, přitom umožňuje, aby si Panelista Garant vyžádal hodnocení i v rámci jiné oblasti hodnocení, než ve které byl výsledek k hodnocení předložen. To může udělat buď na základě označení multioborového výsledku a dalšího oboru hodnocení (v aplikaci SKV umožněno předkladatelům až od sběru výsledků v roce 2025), nebo na základě vlastního zjištění, že výsledek znaky multioborovosti vykazuje. Protože tuto možnost Panelista Garant nevyužil, ani u jednoho z výše zmíněných výsledků, a sám se rozhodl rovnou je označit známkou 5, považujeme toto za metodologicky nesprávný a problematický postup, který je i v rozporu s obecně vyjadřovanou podporou pro mezioborové výsledky. Mohlo tím dojít k narušení procesu hodnocení výsledků v modulu M1, a to v rozporu s dlouhodobě ustálenými standardy a metodologicky konzistentními přístupy odborných panelů z předchozích let, kdy minimálně 2 roky je deklarována podpora mezioborových výsledků. Věříme, že se KHV bude naším formálním protestem zabývat, aby se v budoucím hodnocení zabránilo podobným problematickým a obecně nekonzistentním postupům při hodnocení. Ve světle toho, kolik času a prostoru je věnováno celkové kvalitě hodnocení, standardizaci a kontinuálnímu zlepšování mezi roky, kdy se metodika M17+, resp. M25+ rozvíjí, si to celý proces, hodnocené výsledky, VO i odborníci, kteří se na něm podílejí, zaslouží. Děkujeme za zpětnou vazbu a čas, který našemu podnětu budete věnovat.</w:t>
      </w:r>
    </w:p>
    <w:p w14:paraId="25C11472" w14:textId="77777777" w:rsidR="00317816" w:rsidRPr="00C24D02" w:rsidRDefault="00317816" w:rsidP="00317816">
      <w:pPr>
        <w:spacing w:after="144" w:line="360" w:lineRule="auto"/>
        <w:jc w:val="both"/>
        <w:rPr>
          <w:rFonts w:asciiTheme="minorHAnsi" w:hAnsiTheme="minorHAnsi" w:cstheme="minorHAnsi"/>
        </w:rPr>
      </w:pPr>
      <w:r w:rsidRPr="00C24D02">
        <w:rPr>
          <w:rFonts w:asciiTheme="minorHAnsi" w:hAnsiTheme="minorHAnsi" w:cstheme="minorHAnsi"/>
          <w:u w:val="single"/>
        </w:rPr>
        <w:t>Stanovisko garanta</w:t>
      </w:r>
      <w:r w:rsidRPr="00C24D02">
        <w:rPr>
          <w:rFonts w:asciiTheme="minorHAnsi" w:hAnsiTheme="minorHAnsi" w:cstheme="minorHAnsi"/>
        </w:rPr>
        <w:t xml:space="preserve">: Odborný panel setrvává na svém původním rozhodnutí týkajícím se hodnocení předloženého výsledku. Přestože je hodnocený výsledek shledán jako odborně zajímavý, nepřináší nové matematické poznatky, a proto je jeho oborové zařazení jako matematického výsledku (FORD: 1.1 Mathematics) shledáno jako nesprávné. S přihlédnutím k této skutečnosti nebyl výsledek postoupen k dalšímu hodnocení v jiném, nematematickém </w:t>
      </w:r>
      <w:r w:rsidRPr="00C24D02">
        <w:rPr>
          <w:rFonts w:asciiTheme="minorHAnsi" w:hAnsiTheme="minorHAnsi" w:cstheme="minorHAnsi"/>
        </w:rPr>
        <w:lastRenderedPageBreak/>
        <w:t>oboru. Námitka „aby si Panelista Garant vyžádal hodnocení i v rámci jiné oblasti hodnocení“ se proto zamítá. Volba oboru (FORD) náleží výhradně předkládající výzkumné organizaci. Garant panelista ani samotný odborný panel nejsou k tomuto úkonu kompetentní a jeho provedení není součástí jejich povinností. Jakýkoli zásah do volby oboru by mohl být vyhodnocen jako neoprávněný a vystavit hodnotitele riziku námitky nesprávné klasifikace. Námitka formulovaná jako "formálního protestu vůči obecnému postupu Panelisty Garanta, který ač mohl, tak nevyužíval všech možností rozhodování při hodnocení“ neprokazuje pochybení v průběhu hodnotícího procesu ani nezpochybňuje jeho věcný závěr. Proces hodnocení všech záznamů probíhal zcela korektně a v souladu s platnými pravidly. O všech hodnoceních zařazených na kvalitativní stupnici N nebo 5 (nehodnoceno) rozhodoval kolektivně odborný panel. Z tohoto důvodu se námitka „Své rozhodnutí odůvodňoval subjektivním dojmem“ zamítá. Z uvedených důvodů nemá předložená námitka vliv na původní hodnocení, které zůstává beze změny.</w:t>
      </w:r>
    </w:p>
    <w:p w14:paraId="7B3A16C7"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u w:val="single"/>
        </w:rPr>
        <w:t xml:space="preserve">Vyjádření Odborného panelu: </w:t>
      </w:r>
      <w:r w:rsidRPr="00C24D02">
        <w:rPr>
          <w:rFonts w:asciiTheme="minorHAnsi" w:hAnsiTheme="minorHAnsi" w:cstheme="minorHAnsi"/>
        </w:rPr>
        <w:t>Panel navrhuje námitce nevyhovět a ponechat původní hodnocení stupněm 5.</w:t>
      </w:r>
    </w:p>
    <w:p w14:paraId="7E88C76D" w14:textId="77777777" w:rsidR="00317816" w:rsidRPr="00C24D02" w:rsidRDefault="00317816" w:rsidP="00317816">
      <w:pPr>
        <w:spacing w:before="240" w:after="144" w:line="360" w:lineRule="auto"/>
        <w:jc w:val="both"/>
        <w:rPr>
          <w:rFonts w:asciiTheme="minorHAnsi" w:hAnsiTheme="minorHAnsi" w:cstheme="minorHAnsi"/>
          <w:bCs/>
        </w:rPr>
      </w:pPr>
      <w:r w:rsidRPr="00C24D02">
        <w:rPr>
          <w:rFonts w:asciiTheme="minorHAnsi" w:hAnsiTheme="minorHAnsi" w:cstheme="minorHAnsi"/>
          <w:b/>
          <w:u w:val="single"/>
        </w:rPr>
        <w:t xml:space="preserve">Vyjádření Sekce </w:t>
      </w:r>
      <w:r w:rsidRPr="00C24D02">
        <w:rPr>
          <w:rFonts w:asciiTheme="minorHAnsi" w:eastAsia="Calibri" w:hAnsiTheme="minorHAnsi" w:cstheme="minorHAnsi"/>
          <w:b/>
          <w:u w:val="single"/>
        </w:rPr>
        <w:t>pro vědu, výzkum a inovace:</w:t>
      </w:r>
      <w:r w:rsidRPr="00C24D02">
        <w:rPr>
          <w:rFonts w:asciiTheme="minorHAnsi" w:eastAsia="Calibri" w:hAnsiTheme="minorHAnsi" w:cstheme="minorHAnsi"/>
          <w:bCs/>
        </w:rPr>
        <w:t xml:space="preserve"> Panelista se nevyjadřuje ke skutečnostem uvedeným v námitce (zdůvodnění matematického přínosu), pouze trvá na svém původním stanovisku. Z procesního hlediska je vypořádání námitky nedostatečné.</w:t>
      </w:r>
    </w:p>
    <w:p w14:paraId="6057999B" w14:textId="77777777" w:rsidR="00317816" w:rsidRPr="00C24D02" w:rsidRDefault="00317816" w:rsidP="00317816">
      <w:pPr>
        <w:spacing w:before="240" w:after="144" w:line="360" w:lineRule="auto"/>
        <w:jc w:val="both"/>
        <w:rPr>
          <w:rFonts w:asciiTheme="minorHAnsi" w:hAnsiTheme="minorHAnsi" w:cstheme="minorHAnsi"/>
        </w:rPr>
      </w:pPr>
      <w:r w:rsidRPr="00C24D02">
        <w:rPr>
          <w:rFonts w:asciiTheme="minorHAnsi" w:hAnsiTheme="minorHAnsi" w:cstheme="minorHAnsi"/>
          <w:b/>
          <w:bCs/>
          <w:u w:val="single"/>
        </w:rPr>
        <w:t>Závěr KHV</w:t>
      </w:r>
      <w:r w:rsidRPr="00C24D02">
        <w:rPr>
          <w:rFonts w:asciiTheme="minorHAnsi" w:hAnsiTheme="minorHAnsi" w:cstheme="minorHAnsi"/>
          <w:b/>
          <w:bCs/>
        </w:rPr>
        <w:t xml:space="preserve">: </w:t>
      </w:r>
      <w:r w:rsidRPr="00C24D02">
        <w:rPr>
          <w:rFonts w:asciiTheme="minorHAnsi" w:hAnsiTheme="minorHAnsi" w:cstheme="minorHAnsi"/>
        </w:rPr>
        <w:t>KHV doporučuje vrátit výsledek do hodnocení (viz závěr v kapitole 6).</w:t>
      </w:r>
    </w:p>
    <w:p w14:paraId="5563D174" w14:textId="77777777" w:rsidR="00317816" w:rsidRPr="00C24D02" w:rsidRDefault="00317816" w:rsidP="00317816">
      <w:pPr>
        <w:spacing w:before="240" w:after="144" w:line="360" w:lineRule="auto"/>
        <w:jc w:val="both"/>
        <w:rPr>
          <w:rFonts w:asciiTheme="minorHAnsi" w:hAnsiTheme="minorHAnsi" w:cstheme="minorHAnsi"/>
        </w:rPr>
      </w:pPr>
    </w:p>
    <w:p w14:paraId="2581C554" w14:textId="42073B01" w:rsidR="00D054AE" w:rsidRDefault="00D054AE">
      <w:pPr>
        <w:suppressAutoHyphens w:val="0"/>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1203D8CE" w14:textId="5ED59167" w:rsidR="00D054AE" w:rsidRDefault="00D054AE" w:rsidP="00D054AE">
      <w:pPr>
        <w:pStyle w:val="Nadpis1"/>
        <w:numPr>
          <w:ilvl w:val="0"/>
          <w:numId w:val="1"/>
        </w:numPr>
        <w:spacing w:before="480" w:after="480" w:line="360" w:lineRule="auto"/>
        <w:ind w:left="714" w:hanging="357"/>
        <w:rPr>
          <w:rFonts w:asciiTheme="minorHAnsi" w:hAnsiTheme="minorHAnsi" w:cstheme="minorHAnsi"/>
          <w:sz w:val="22"/>
          <w:szCs w:val="22"/>
        </w:rPr>
      </w:pPr>
      <w:bookmarkStart w:id="59" w:name="_Toc221799824"/>
      <w:r>
        <w:rPr>
          <w:rFonts w:asciiTheme="minorHAnsi" w:hAnsiTheme="minorHAnsi" w:cstheme="minorHAnsi"/>
          <w:sz w:val="22"/>
          <w:szCs w:val="22"/>
        </w:rPr>
        <w:lastRenderedPageBreak/>
        <w:t>Modul 2</w:t>
      </w:r>
      <w:bookmarkEnd w:id="59"/>
    </w:p>
    <w:p w14:paraId="2841A098" w14:textId="56E9E34B" w:rsidR="004B7B15" w:rsidRPr="00D054AE" w:rsidRDefault="004B7B15" w:rsidP="004B7B15">
      <w:pPr>
        <w:spacing w:after="144" w:line="360" w:lineRule="auto"/>
        <w:jc w:val="both"/>
        <w:rPr>
          <w:rFonts w:asciiTheme="minorHAnsi" w:hAnsiTheme="minorHAnsi" w:cstheme="minorHAnsi"/>
        </w:rPr>
      </w:pPr>
      <w:r>
        <w:rPr>
          <w:rFonts w:asciiTheme="minorHAnsi" w:hAnsiTheme="minorHAnsi" w:cstheme="minorHAnsi"/>
        </w:rPr>
        <w:t>K výsledkům hodnocení Modulu 2 zaslala připomínky Vysoká škola ekonomická v Praze, konkrétně ke komentáři o</w:t>
      </w:r>
      <w:r w:rsidRPr="004B7B15">
        <w:rPr>
          <w:rFonts w:asciiTheme="minorHAnsi" w:hAnsiTheme="minorHAnsi" w:cstheme="minorHAnsi"/>
        </w:rPr>
        <w:t>dborného panelu FORD 5.2 Economics and Business</w:t>
      </w:r>
      <w:r>
        <w:rPr>
          <w:rFonts w:asciiTheme="minorHAnsi" w:hAnsiTheme="minorHAnsi" w:cstheme="minorHAnsi"/>
        </w:rPr>
        <w:t xml:space="preserve"> a částečně ke komentáři </w:t>
      </w:r>
      <w:r w:rsidRPr="004B7B15">
        <w:rPr>
          <w:rFonts w:asciiTheme="minorHAnsi" w:hAnsiTheme="minorHAnsi" w:cstheme="minorHAnsi"/>
        </w:rPr>
        <w:t xml:space="preserve">odborného panelu FORD 5.6 Political science. </w:t>
      </w:r>
      <w:r>
        <w:rPr>
          <w:rFonts w:asciiTheme="minorHAnsi" w:hAnsiTheme="minorHAnsi" w:cstheme="minorHAnsi"/>
        </w:rPr>
        <w:t xml:space="preserve">Námitka se týkala publikačního profilu v oblasti obchodu a financí, alokace DKRVO či  produktivity v jednotlivých kvartilech. </w:t>
      </w:r>
    </w:p>
    <w:p w14:paraId="06C4BE36" w14:textId="4A3BD404" w:rsidR="00D054AE" w:rsidRDefault="004B7B15" w:rsidP="004B7B15">
      <w:pPr>
        <w:spacing w:after="144" w:line="360" w:lineRule="auto"/>
        <w:jc w:val="both"/>
        <w:rPr>
          <w:rFonts w:asciiTheme="minorHAnsi" w:hAnsiTheme="minorHAnsi" w:cstheme="minorHAnsi"/>
        </w:rPr>
      </w:pPr>
      <w:r w:rsidRPr="004B7B15">
        <w:rPr>
          <w:rFonts w:asciiTheme="minorHAnsi" w:hAnsiTheme="minorHAnsi" w:cstheme="minorHAnsi"/>
        </w:rPr>
        <w:t xml:space="preserve">Námitka za daný FORD byla vypořádána a zpráva </w:t>
      </w:r>
      <w:r w:rsidR="005D6131">
        <w:rPr>
          <w:rFonts w:asciiTheme="minorHAnsi" w:hAnsiTheme="minorHAnsi" w:cstheme="minorHAnsi"/>
        </w:rPr>
        <w:t>bude zveřejněna.</w:t>
      </w:r>
    </w:p>
    <w:p w14:paraId="79A1201E" w14:textId="77777777" w:rsidR="00D054AE" w:rsidRPr="00D054AE" w:rsidRDefault="00D054AE" w:rsidP="00D054AE">
      <w:pPr>
        <w:rPr>
          <w:rFonts w:eastAsia="SimSun"/>
        </w:rPr>
      </w:pPr>
    </w:p>
    <w:p w14:paraId="2A6F7C64" w14:textId="77777777" w:rsidR="00D65CC8" w:rsidRPr="00C24D02" w:rsidRDefault="00D65CC8" w:rsidP="00D65CC8">
      <w:pPr>
        <w:spacing w:after="144" w:line="360" w:lineRule="auto"/>
        <w:rPr>
          <w:rFonts w:asciiTheme="minorHAnsi" w:hAnsiTheme="minorHAnsi" w:cstheme="minorHAnsi"/>
          <w:sz w:val="22"/>
          <w:szCs w:val="22"/>
        </w:rPr>
      </w:pPr>
    </w:p>
    <w:sectPr w:rsidR="00D65CC8" w:rsidRPr="00C24D02" w:rsidSect="00C24D02">
      <w:footerReference w:type="default" r:id="rId9"/>
      <w:head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95FA3D" w14:textId="77777777" w:rsidR="00FC6A9B" w:rsidRDefault="00FC6A9B" w:rsidP="00D65CC8">
      <w:r>
        <w:separator/>
      </w:r>
    </w:p>
  </w:endnote>
  <w:endnote w:type="continuationSeparator" w:id="0">
    <w:p w14:paraId="61015304" w14:textId="77777777" w:rsidR="00FC6A9B" w:rsidRDefault="00FC6A9B" w:rsidP="00D65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2269709"/>
      <w:docPartObj>
        <w:docPartGallery w:val="Page Numbers (Bottom of Page)"/>
        <w:docPartUnique/>
      </w:docPartObj>
    </w:sdtPr>
    <w:sdtEndPr/>
    <w:sdtContent>
      <w:p w14:paraId="5CF6076E" w14:textId="42BC5669" w:rsidR="00C24D02" w:rsidRDefault="00C24D02">
        <w:pPr>
          <w:pStyle w:val="Zpat"/>
          <w:jc w:val="right"/>
        </w:pPr>
        <w:r>
          <w:fldChar w:fldCharType="begin"/>
        </w:r>
        <w:r>
          <w:instrText>PAGE   \* MERGEFORMAT</w:instrText>
        </w:r>
        <w:r>
          <w:fldChar w:fldCharType="separate"/>
        </w:r>
        <w:r>
          <w:t>2</w:t>
        </w:r>
        <w:r>
          <w:fldChar w:fldCharType="end"/>
        </w:r>
        <w:r w:rsidR="003E09A9">
          <w:t>/</w:t>
        </w:r>
        <w:r w:rsidR="00AB61EA">
          <w:t>296</w:t>
        </w:r>
      </w:p>
    </w:sdtContent>
  </w:sdt>
  <w:p w14:paraId="6EDC5A77" w14:textId="77777777" w:rsidR="00D65CC8" w:rsidRDefault="00D65CC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59F02" w14:textId="77777777" w:rsidR="00FC6A9B" w:rsidRDefault="00FC6A9B" w:rsidP="00D65CC8">
      <w:r>
        <w:separator/>
      </w:r>
    </w:p>
  </w:footnote>
  <w:footnote w:type="continuationSeparator" w:id="0">
    <w:p w14:paraId="315C8009" w14:textId="77777777" w:rsidR="00FC6A9B" w:rsidRDefault="00FC6A9B" w:rsidP="00D65CC8">
      <w:r>
        <w:continuationSeparator/>
      </w:r>
    </w:p>
  </w:footnote>
  <w:footnote w:id="1">
    <w:p w14:paraId="7C819612" w14:textId="77777777" w:rsidR="00D65CC8" w:rsidRDefault="00D65CC8" w:rsidP="00D65CC8">
      <w:pPr>
        <w:pStyle w:val="Textpoznpodarou"/>
        <w:jc w:val="both"/>
        <w:rPr>
          <w:rFonts w:ascii="Arial" w:hAnsi="Arial" w:cs="Arial"/>
          <w:sz w:val="18"/>
          <w:szCs w:val="18"/>
        </w:rPr>
      </w:pPr>
      <w:r>
        <w:rPr>
          <w:rStyle w:val="Znakypropoznmkupodarou"/>
          <w:rFonts w:eastAsiaTheme="majorEastAsia"/>
        </w:rPr>
        <w:footnoteRef/>
      </w:r>
      <w:r>
        <w:rPr>
          <w:rFonts w:ascii="Arial" w:hAnsi="Arial" w:cs="Arial"/>
          <w:sz w:val="18"/>
          <w:szCs w:val="18"/>
        </w:rPr>
        <w:t xml:space="preserve"> Schváleno usnesením vlády ČR ze dne 8. února 2017, č. 107, str. 11.</w:t>
      </w:r>
    </w:p>
  </w:footnote>
  <w:footnote w:id="2">
    <w:p w14:paraId="12673444" w14:textId="77777777" w:rsidR="00D65CC8" w:rsidRDefault="00D65CC8" w:rsidP="00D65CC8">
      <w:pPr>
        <w:pStyle w:val="Textpoznpodarou"/>
        <w:jc w:val="both"/>
        <w:rPr>
          <w:rFonts w:ascii="Arial" w:hAnsi="Arial" w:cs="Arial"/>
          <w:sz w:val="18"/>
          <w:szCs w:val="18"/>
        </w:rPr>
      </w:pPr>
      <w:r>
        <w:rPr>
          <w:rStyle w:val="Znakypropoznmkupodarou"/>
          <w:rFonts w:eastAsiaTheme="majorEastAsia"/>
        </w:rPr>
        <w:footnoteRef/>
      </w:r>
      <w:r>
        <w:rPr>
          <w:rFonts w:ascii="Arial" w:hAnsi="Arial" w:cs="Arial"/>
          <w:sz w:val="18"/>
          <w:szCs w:val="18"/>
        </w:rPr>
        <w:t xml:space="preserve"> </w:t>
      </w:r>
      <w:r>
        <w:rPr>
          <w:rFonts w:ascii="Arial" w:hAnsi="Arial" w:cs="Arial"/>
          <w:color w:val="000000"/>
          <w:sz w:val="18"/>
          <w:szCs w:val="18"/>
        </w:rPr>
        <w:t>Schváleno dne 15. července 2020 na 125. zasedání Komise pro hodnocení výzkumných organizací.</w:t>
      </w:r>
    </w:p>
  </w:footnote>
  <w:footnote w:id="3">
    <w:p w14:paraId="61C22539"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4">
    <w:p w14:paraId="701AE74D" w14:textId="77777777" w:rsidR="00B8177D" w:rsidRDefault="00B8177D" w:rsidP="00B8177D">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53286EE1" w14:textId="77777777" w:rsidR="00B8177D" w:rsidRDefault="00B8177D" w:rsidP="00B8177D">
      <w:pPr>
        <w:pStyle w:val="Textpoznpodarou"/>
      </w:pPr>
    </w:p>
  </w:footnote>
  <w:footnote w:id="5">
    <w:p w14:paraId="51329BF5"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6">
    <w:p w14:paraId="1D95E743"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7">
    <w:p w14:paraId="1AD5C657" w14:textId="77777777" w:rsidR="00B8177D" w:rsidRDefault="00B8177D" w:rsidP="00B8177D">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1626B8A5" w14:textId="77777777" w:rsidR="00B8177D" w:rsidRDefault="00B8177D" w:rsidP="00B8177D">
      <w:pPr>
        <w:pStyle w:val="Textpoznpodarou"/>
      </w:pPr>
    </w:p>
  </w:footnote>
  <w:footnote w:id="8">
    <w:p w14:paraId="66865EE4"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9">
    <w:p w14:paraId="4BF33F92" w14:textId="77777777" w:rsidR="00B8177D" w:rsidRDefault="00B8177D" w:rsidP="00B8177D">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4DDAAFB6" w14:textId="77777777" w:rsidR="00B8177D" w:rsidRDefault="00B8177D" w:rsidP="00B8177D">
      <w:pPr>
        <w:pStyle w:val="Textpoznpodarou"/>
      </w:pPr>
    </w:p>
  </w:footnote>
  <w:footnote w:id="10">
    <w:p w14:paraId="38043105"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1">
    <w:p w14:paraId="13D97040" w14:textId="77777777" w:rsidR="00B8177D" w:rsidRDefault="00B8177D" w:rsidP="00B8177D">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17B3FC27" w14:textId="77777777" w:rsidR="00B8177D" w:rsidRDefault="00B8177D" w:rsidP="00B8177D">
      <w:pPr>
        <w:pStyle w:val="Textpoznpodarou"/>
      </w:pPr>
    </w:p>
  </w:footnote>
  <w:footnote w:id="12">
    <w:p w14:paraId="6EDD20C8"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3">
    <w:p w14:paraId="343F96D6" w14:textId="77777777" w:rsidR="00B8177D" w:rsidRDefault="00B8177D" w:rsidP="00B8177D">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068A6517" w14:textId="77777777" w:rsidR="00B8177D" w:rsidRDefault="00B8177D" w:rsidP="00B8177D">
      <w:pPr>
        <w:pStyle w:val="Textpoznpodarou"/>
      </w:pPr>
    </w:p>
  </w:footnote>
  <w:footnote w:id="14">
    <w:p w14:paraId="0654D290"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5">
    <w:p w14:paraId="7F1EA26B" w14:textId="77777777" w:rsidR="00B8177D" w:rsidRDefault="00B8177D" w:rsidP="00B8177D">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5549E758" w14:textId="77777777" w:rsidR="00B8177D" w:rsidRDefault="00B8177D" w:rsidP="00B8177D">
      <w:pPr>
        <w:pStyle w:val="Textpoznpodarou"/>
      </w:pPr>
    </w:p>
  </w:footnote>
  <w:footnote w:id="16">
    <w:p w14:paraId="0F3CFA35"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7">
    <w:p w14:paraId="31577190"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8">
    <w:p w14:paraId="02AC5E88" w14:textId="77777777" w:rsidR="00B8177D" w:rsidRDefault="00B8177D" w:rsidP="00B8177D">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29B34A3E" w14:textId="77777777" w:rsidR="00B8177D" w:rsidRDefault="00B8177D" w:rsidP="00B8177D">
      <w:pPr>
        <w:pStyle w:val="Textpoznpodarou"/>
      </w:pPr>
    </w:p>
  </w:footnote>
  <w:footnote w:id="19">
    <w:p w14:paraId="5E340743"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20">
    <w:p w14:paraId="0D0784E9"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21">
    <w:p w14:paraId="7482A3E0"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22">
    <w:p w14:paraId="52D5C248"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23">
    <w:p w14:paraId="6D8B3260" w14:textId="77777777" w:rsidR="00B8177D" w:rsidRDefault="00B8177D" w:rsidP="00B8177D">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10186E23" w14:textId="77777777" w:rsidR="00B8177D" w:rsidRDefault="00B8177D" w:rsidP="00B8177D">
      <w:pPr>
        <w:pStyle w:val="Textpoznpodarou"/>
      </w:pPr>
    </w:p>
  </w:footnote>
  <w:footnote w:id="24">
    <w:p w14:paraId="211D1E4E"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25">
    <w:p w14:paraId="75204BAF"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26">
    <w:p w14:paraId="73045F00"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27">
    <w:p w14:paraId="09BD6888"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28">
    <w:p w14:paraId="425FE1AD" w14:textId="77777777" w:rsidR="00B8177D" w:rsidRDefault="00B8177D" w:rsidP="00B8177D">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29">
    <w:p w14:paraId="1483372C"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30">
    <w:p w14:paraId="08E8432B"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5165743B" w14:textId="77777777" w:rsidR="00317816" w:rsidRDefault="00317816" w:rsidP="00317816">
      <w:pPr>
        <w:pStyle w:val="Textpoznpodarou"/>
      </w:pPr>
    </w:p>
  </w:footnote>
  <w:footnote w:id="31">
    <w:p w14:paraId="3C28CA55"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32">
    <w:p w14:paraId="03E702FD"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506A4ACC" w14:textId="77777777" w:rsidR="00317816" w:rsidRDefault="00317816" w:rsidP="00317816">
      <w:pPr>
        <w:pStyle w:val="Textpoznpodarou"/>
      </w:pPr>
    </w:p>
  </w:footnote>
  <w:footnote w:id="33">
    <w:p w14:paraId="18C4585E"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34">
    <w:p w14:paraId="3F7EC2F9"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7D0AA677" w14:textId="77777777" w:rsidR="00317816" w:rsidRDefault="00317816" w:rsidP="00317816">
      <w:pPr>
        <w:pStyle w:val="Textpoznpodarou"/>
      </w:pPr>
    </w:p>
  </w:footnote>
  <w:footnote w:id="35">
    <w:p w14:paraId="1CA12589"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36">
    <w:p w14:paraId="6D29A773"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7209C6D5" w14:textId="77777777" w:rsidR="00317816" w:rsidRDefault="00317816" w:rsidP="00317816">
      <w:pPr>
        <w:pStyle w:val="Textpoznpodarou"/>
      </w:pPr>
    </w:p>
  </w:footnote>
  <w:footnote w:id="37">
    <w:p w14:paraId="7C1DD47C"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38">
    <w:p w14:paraId="1F6D83AC"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4761233E" w14:textId="77777777" w:rsidR="00317816" w:rsidRDefault="00317816" w:rsidP="00317816">
      <w:pPr>
        <w:pStyle w:val="Textpoznpodarou"/>
      </w:pPr>
    </w:p>
  </w:footnote>
  <w:footnote w:id="39">
    <w:p w14:paraId="7491DF7B"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40">
    <w:p w14:paraId="1B376959"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41">
    <w:p w14:paraId="37D131F5"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6F764770" w14:textId="77777777" w:rsidR="00317816" w:rsidRDefault="00317816" w:rsidP="00317816">
      <w:pPr>
        <w:pStyle w:val="Textpoznpodarou"/>
      </w:pPr>
    </w:p>
  </w:footnote>
  <w:footnote w:id="42">
    <w:p w14:paraId="4D45291D"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43">
    <w:p w14:paraId="7147205D"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44">
    <w:p w14:paraId="50B18007"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45">
    <w:p w14:paraId="44896A47"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46">
    <w:p w14:paraId="66BF088C"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47">
    <w:p w14:paraId="49B7CC22"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48">
    <w:p w14:paraId="2B1F160F"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49">
    <w:p w14:paraId="629E11E4"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50">
    <w:p w14:paraId="65214CDD"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51">
    <w:p w14:paraId="498EAFD9"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52">
    <w:p w14:paraId="01FCF173"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53">
    <w:p w14:paraId="5FC7858B"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54">
    <w:p w14:paraId="045B0B41"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55">
    <w:p w14:paraId="33CB7A5B"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56">
    <w:p w14:paraId="2021C250"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57">
    <w:p w14:paraId="4A2834F4"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58">
    <w:p w14:paraId="03844FD5"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59">
    <w:p w14:paraId="05F75408" w14:textId="77777777" w:rsidR="00317816" w:rsidRDefault="00317816" w:rsidP="00317816">
      <w:pPr>
        <w:pStyle w:val="Textpoznpodarou"/>
        <w:widowControl w:val="0"/>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7C5F6C7A" w14:textId="77777777" w:rsidR="00317816" w:rsidRDefault="00317816" w:rsidP="00317816">
      <w:pPr>
        <w:pStyle w:val="Textpoznpodarou"/>
        <w:widowControl w:val="0"/>
      </w:pPr>
    </w:p>
  </w:footnote>
  <w:footnote w:id="60">
    <w:p w14:paraId="73D17FA6"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61">
    <w:p w14:paraId="471B02E8" w14:textId="77777777" w:rsidR="00317816" w:rsidRDefault="00317816" w:rsidP="00317816">
      <w:pPr>
        <w:pStyle w:val="Textpoznpodarou"/>
        <w:widowControl w:val="0"/>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724B6501" w14:textId="77777777" w:rsidR="00317816" w:rsidRDefault="00317816" w:rsidP="00317816">
      <w:pPr>
        <w:pStyle w:val="Textpoznpodarou"/>
        <w:widowControl w:val="0"/>
      </w:pPr>
    </w:p>
  </w:footnote>
  <w:footnote w:id="62">
    <w:p w14:paraId="516ED8B0"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63">
    <w:p w14:paraId="247BC58F"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64">
    <w:p w14:paraId="3B56CED3"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65">
    <w:p w14:paraId="0C494042"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66">
    <w:p w14:paraId="7132E204"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67">
    <w:p w14:paraId="48159C94"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68">
    <w:p w14:paraId="0024AD9D"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69">
    <w:p w14:paraId="1A251D54" w14:textId="77777777" w:rsidR="00317816" w:rsidRDefault="00317816" w:rsidP="00317816">
      <w:pPr>
        <w:pStyle w:val="Textpoznpodarou"/>
        <w:widowControl w:val="0"/>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1CE2E953" w14:textId="77777777" w:rsidR="00317816" w:rsidRDefault="00317816" w:rsidP="00317816">
      <w:pPr>
        <w:pStyle w:val="Textpoznpodarou"/>
        <w:widowControl w:val="0"/>
      </w:pPr>
    </w:p>
  </w:footnote>
  <w:footnote w:id="70">
    <w:p w14:paraId="481DD3C6"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71">
    <w:p w14:paraId="3B522EF1"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72">
    <w:p w14:paraId="5ADFAF7D"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73">
    <w:p w14:paraId="525C2361"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74">
    <w:p w14:paraId="33C61954"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75">
    <w:p w14:paraId="51C6843B"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76">
    <w:p w14:paraId="47CBA7AC"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77">
    <w:p w14:paraId="6AEC3BF6"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78">
    <w:p w14:paraId="03C53B57"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79">
    <w:p w14:paraId="40822C88"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80">
    <w:p w14:paraId="5CF33286"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81">
    <w:p w14:paraId="78E625B4"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82">
    <w:p w14:paraId="3041613A"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83">
    <w:p w14:paraId="573BCB35" w14:textId="77777777" w:rsidR="00317816" w:rsidRDefault="00317816" w:rsidP="00317816">
      <w:pPr>
        <w:pStyle w:val="Textpoznpodarou"/>
        <w:widowControl w:val="0"/>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2BEF81A1" w14:textId="77777777" w:rsidR="00317816" w:rsidRDefault="00317816" w:rsidP="00317816">
      <w:pPr>
        <w:pStyle w:val="Textpoznpodarou"/>
        <w:widowControl w:val="0"/>
      </w:pPr>
    </w:p>
  </w:footnote>
  <w:footnote w:id="84">
    <w:p w14:paraId="1E4CBB02"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85">
    <w:p w14:paraId="00AEF414"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86">
    <w:p w14:paraId="52D64728"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87">
    <w:p w14:paraId="0174A39A"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88">
    <w:p w14:paraId="72B4F042"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89">
    <w:p w14:paraId="2271FF5A"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90">
    <w:p w14:paraId="0A5DE9F4" w14:textId="77777777" w:rsidR="00317816" w:rsidRDefault="00317816" w:rsidP="00317816">
      <w:pPr>
        <w:pStyle w:val="Textpoznpodarou"/>
        <w:widowControl w:val="0"/>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4FE4E957" w14:textId="77777777" w:rsidR="00317816" w:rsidRDefault="00317816" w:rsidP="00317816">
      <w:pPr>
        <w:pStyle w:val="Textpoznpodarou"/>
        <w:widowControl w:val="0"/>
      </w:pPr>
    </w:p>
  </w:footnote>
  <w:footnote w:id="91">
    <w:p w14:paraId="1BD8952F"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92">
    <w:p w14:paraId="5EDFF919"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93">
    <w:p w14:paraId="516429CB"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94">
    <w:p w14:paraId="0AA4384D"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95">
    <w:p w14:paraId="5910967F"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96">
    <w:p w14:paraId="6C6A6CA3"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97">
    <w:p w14:paraId="49D695A3"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98">
    <w:p w14:paraId="483761C2"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99">
    <w:p w14:paraId="0FAE3DA0"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00">
    <w:p w14:paraId="2A7ED70D"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01">
    <w:p w14:paraId="5F0CE2D7"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02">
    <w:p w14:paraId="0C673923"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03">
    <w:p w14:paraId="6F079DD2"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04">
    <w:p w14:paraId="123E84A4" w14:textId="77777777" w:rsidR="00317816" w:rsidRDefault="00317816" w:rsidP="00317816">
      <w:pPr>
        <w:pStyle w:val="Textpoznpodarou"/>
        <w:widowControl w:val="0"/>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03734B18" w14:textId="77777777" w:rsidR="00317816" w:rsidRDefault="00317816" w:rsidP="00317816">
      <w:pPr>
        <w:pStyle w:val="Textpoznpodarou"/>
        <w:widowControl w:val="0"/>
      </w:pPr>
    </w:p>
  </w:footnote>
  <w:footnote w:id="105">
    <w:p w14:paraId="79147E14"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06">
    <w:p w14:paraId="2235C578"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07">
    <w:p w14:paraId="03E55E58"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08">
    <w:p w14:paraId="11610FF7"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09">
    <w:p w14:paraId="53AE40D5"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10">
    <w:p w14:paraId="5EFA1DDE"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11">
    <w:p w14:paraId="3C58BC78"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12">
    <w:p w14:paraId="2F96CC8C"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13">
    <w:p w14:paraId="4731EC21"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14">
    <w:p w14:paraId="613C7C96"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15">
    <w:p w14:paraId="68847516"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16">
    <w:p w14:paraId="3C8CAABA"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17">
    <w:p w14:paraId="7B7E8453"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18">
    <w:p w14:paraId="3F1F76B4"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19">
    <w:p w14:paraId="35199C07"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32837AB5" w14:textId="77777777" w:rsidR="00317816" w:rsidRDefault="00317816" w:rsidP="00317816">
      <w:pPr>
        <w:pStyle w:val="Textpoznpodarou"/>
      </w:pPr>
    </w:p>
  </w:footnote>
  <w:footnote w:id="120">
    <w:p w14:paraId="79073423"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21">
    <w:p w14:paraId="2468205F"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49AEA784" w14:textId="77777777" w:rsidR="00317816" w:rsidRDefault="00317816" w:rsidP="00317816">
      <w:pPr>
        <w:pStyle w:val="Textpoznpodarou"/>
      </w:pPr>
    </w:p>
  </w:footnote>
  <w:footnote w:id="122">
    <w:p w14:paraId="4C5D45F9"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31524530" w14:textId="77777777" w:rsidR="00317816" w:rsidRDefault="00317816" w:rsidP="00317816">
      <w:pPr>
        <w:pStyle w:val="Textpoznpodarou"/>
      </w:pPr>
    </w:p>
  </w:footnote>
  <w:footnote w:id="123">
    <w:p w14:paraId="3C351336"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24">
    <w:p w14:paraId="5B2ED11D"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25">
    <w:p w14:paraId="2E191EDA"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26">
    <w:p w14:paraId="14C15875"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27">
    <w:p w14:paraId="586B2A03"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28">
    <w:p w14:paraId="2237A70F"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29">
    <w:p w14:paraId="4C10A87D"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30">
    <w:p w14:paraId="361CAC89"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0513D78B" w14:textId="77777777" w:rsidR="00317816" w:rsidRDefault="00317816" w:rsidP="00317816">
      <w:pPr>
        <w:pStyle w:val="Textpoznpodarou"/>
      </w:pPr>
    </w:p>
  </w:footnote>
  <w:footnote w:id="131">
    <w:p w14:paraId="6540A5D1"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32">
    <w:p w14:paraId="7C263736"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61210F39" w14:textId="77777777" w:rsidR="00317816" w:rsidRDefault="00317816" w:rsidP="00317816">
      <w:pPr>
        <w:pStyle w:val="Textpoznpodarou"/>
      </w:pPr>
    </w:p>
  </w:footnote>
  <w:footnote w:id="133">
    <w:p w14:paraId="4C51DA3E"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34">
    <w:p w14:paraId="7B2E62DF"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35">
    <w:p w14:paraId="3D9409DC"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36">
    <w:p w14:paraId="734B18B5"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37">
    <w:p w14:paraId="22FFC527"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38">
    <w:p w14:paraId="493B2423"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39">
    <w:p w14:paraId="7CE62AAD"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40">
    <w:p w14:paraId="2500387E"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41">
    <w:p w14:paraId="1484072D"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42">
    <w:p w14:paraId="2814152D"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257D324C" w14:textId="77777777" w:rsidR="00317816" w:rsidRDefault="00317816" w:rsidP="00317816">
      <w:pPr>
        <w:pStyle w:val="Textpoznpodarou"/>
      </w:pPr>
    </w:p>
  </w:footnote>
  <w:footnote w:id="143">
    <w:p w14:paraId="4EFF4402"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44">
    <w:p w14:paraId="31E0D59F"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197006E3" w14:textId="77777777" w:rsidR="00317816" w:rsidRDefault="00317816" w:rsidP="00317816">
      <w:pPr>
        <w:pStyle w:val="Textpoznpodarou"/>
      </w:pPr>
    </w:p>
  </w:footnote>
  <w:footnote w:id="145">
    <w:p w14:paraId="79C4E8EF"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46">
    <w:p w14:paraId="12291B0D"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4DFF8FDF" w14:textId="77777777" w:rsidR="00317816" w:rsidRDefault="00317816" w:rsidP="00317816">
      <w:pPr>
        <w:pStyle w:val="Textpoznpodarou"/>
      </w:pPr>
    </w:p>
  </w:footnote>
  <w:footnote w:id="147">
    <w:p w14:paraId="603F4928"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48">
    <w:p w14:paraId="76E679FD"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02E2E5C9" w14:textId="77777777" w:rsidR="00317816" w:rsidRDefault="00317816" w:rsidP="00317816">
      <w:pPr>
        <w:pStyle w:val="Textpoznpodarou"/>
      </w:pPr>
    </w:p>
  </w:footnote>
  <w:footnote w:id="149">
    <w:p w14:paraId="559601B2"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76CBF3E9" w14:textId="77777777" w:rsidR="00317816" w:rsidRDefault="00317816" w:rsidP="00317816">
      <w:pPr>
        <w:pStyle w:val="Textpoznpodarou"/>
      </w:pPr>
    </w:p>
  </w:footnote>
  <w:footnote w:id="150">
    <w:p w14:paraId="09593838"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51">
    <w:p w14:paraId="3ECE7883"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52">
    <w:p w14:paraId="11F20DF6" w14:textId="77777777" w:rsidR="00317816" w:rsidRDefault="00317816" w:rsidP="00317816">
      <w:pPr>
        <w:pStyle w:val="Textpoznpodarou"/>
        <w:rPr>
          <w:rFonts w:ascii="Arial" w:hAnsi="Arial" w:cs="Arial"/>
          <w:sz w:val="18"/>
          <w:szCs w:val="18"/>
        </w:rPr>
      </w:pPr>
      <w:r>
        <w:rPr>
          <w:rStyle w:val="Znakypropoznmkupodarou"/>
          <w:rFonts w:eastAsiaTheme="majorEastAsia"/>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0E0E5E14" w14:textId="77777777" w:rsidR="00317816" w:rsidRDefault="00317816" w:rsidP="00317816">
      <w:pPr>
        <w:pStyle w:val="Textpoznpodarou"/>
      </w:pPr>
    </w:p>
  </w:footnote>
  <w:footnote w:id="153">
    <w:p w14:paraId="2454ECCF"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54">
    <w:p w14:paraId="690D847C"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55">
    <w:p w14:paraId="46A0673B"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56">
    <w:p w14:paraId="12A528A4" w14:textId="77777777" w:rsidR="00317816" w:rsidRDefault="00317816" w:rsidP="00317816">
      <w:pPr>
        <w:pStyle w:val="Textpoznpodarou"/>
        <w:widowControl w:val="0"/>
        <w:rPr>
          <w:rFonts w:ascii="Arial" w:hAnsi="Arial" w:cs="Arial"/>
          <w:sz w:val="18"/>
          <w:szCs w:val="18"/>
        </w:rPr>
      </w:pPr>
      <w:r>
        <w:rPr>
          <w:rStyle w:val="Znakypropoznmkupodarou"/>
        </w:rPr>
        <w:footnoteRef/>
      </w:r>
      <w:r>
        <w:rPr>
          <w:rFonts w:ascii="Arial" w:hAnsi="Arial" w:cs="Arial"/>
          <w:sz w:val="18"/>
          <w:szCs w:val="18"/>
        </w:rPr>
        <w:t xml:space="preserve"> H- hodnotitel, P - panelista </w:t>
      </w:r>
    </w:p>
  </w:footnote>
  <w:footnote w:id="157">
    <w:p w14:paraId="6514C5C3" w14:textId="77777777" w:rsidR="00317816" w:rsidRDefault="00317816" w:rsidP="00317816">
      <w:pPr>
        <w:pStyle w:val="Textpoznpodarou"/>
        <w:rPr>
          <w:rFonts w:ascii="Arial" w:hAnsi="Arial" w:cs="Arial"/>
          <w:sz w:val="18"/>
          <w:szCs w:val="18"/>
        </w:rPr>
      </w:pPr>
      <w:r>
        <w:rPr>
          <w:rStyle w:val="Znakypropoznmkupodarou"/>
        </w:rPr>
        <w:footnoteRef/>
      </w:r>
      <w:r>
        <w:t xml:space="preserve"> </w:t>
      </w:r>
      <w:r>
        <w:rPr>
          <w:rFonts w:ascii="Arial" w:hAnsi="Arial" w:cs="Arial"/>
          <w:sz w:val="18"/>
          <w:szCs w:val="18"/>
        </w:rPr>
        <w:t xml:space="preserve">M17+ Uživatelská příručka pro výzkumné organizace, členy Odborných panelů, externí hodnotitele a poskytovatele institucionální podpory VaVaI, Postup hodnocení výsledků dle Metodiky 2017+ </w:t>
      </w:r>
    </w:p>
    <w:p w14:paraId="68F3ADCB" w14:textId="77777777" w:rsidR="00317816" w:rsidRDefault="00317816" w:rsidP="00317816">
      <w:pPr>
        <w:pStyle w:val="Textpoznpodarou"/>
      </w:pPr>
    </w:p>
  </w:footnote>
  <w:footnote w:id="158">
    <w:p w14:paraId="7FCFD61B" w14:textId="77777777" w:rsidR="00317816" w:rsidRDefault="00317816" w:rsidP="00317816">
      <w:pPr>
        <w:pStyle w:val="Textpoznpodarou"/>
        <w:widowControl w:val="0"/>
        <w:rPr>
          <w:rFonts w:ascii="Arial" w:hAnsi="Arial" w:cs="Arial"/>
          <w:sz w:val="18"/>
          <w:szCs w:val="18"/>
        </w:rPr>
      </w:pPr>
      <w:r>
        <w:rPr>
          <w:rStyle w:val="Znakypropoznmkupodarou"/>
          <w:rFonts w:eastAsiaTheme="majorEastAsia"/>
        </w:rPr>
        <w:footnoteRef/>
      </w:r>
      <w:r>
        <w:rPr>
          <w:rFonts w:ascii="Arial" w:hAnsi="Arial" w:cs="Arial"/>
          <w:sz w:val="18"/>
          <w:szCs w:val="18"/>
        </w:rPr>
        <w:t xml:space="preserve"> H- hodnotitel, P - panelista </w:t>
      </w:r>
    </w:p>
  </w:footnote>
  <w:footnote w:id="159">
    <w:p w14:paraId="6355C92F" w14:textId="77777777" w:rsidR="00317816" w:rsidRDefault="00317816" w:rsidP="00317816">
      <w:pPr>
        <w:pStyle w:val="Textpoznpodarou"/>
        <w:widowControl w:val="0"/>
        <w:rPr>
          <w:rFonts w:ascii="Arial" w:hAnsi="Arial" w:cs="Arial"/>
          <w:sz w:val="18"/>
          <w:szCs w:val="18"/>
        </w:rPr>
      </w:pPr>
      <w:r>
        <w:rPr>
          <w:rStyle w:val="Znakypropoznmkupodarou"/>
          <w:rFonts w:eastAsiaTheme="majorEastAsia"/>
        </w:rPr>
        <w:footnoteRef/>
      </w:r>
      <w:r>
        <w:rPr>
          <w:rFonts w:ascii="Arial" w:hAnsi="Arial" w:cs="Arial"/>
          <w:sz w:val="18"/>
          <w:szCs w:val="18"/>
        </w:rPr>
        <w:t xml:space="preserve"> H- hodnotitel, P - panelista </w:t>
      </w:r>
    </w:p>
  </w:footnote>
  <w:footnote w:id="160">
    <w:p w14:paraId="6D14082F" w14:textId="77777777" w:rsidR="00317816" w:rsidRDefault="00317816" w:rsidP="00317816">
      <w:pPr>
        <w:pStyle w:val="Textpoznpodarou"/>
        <w:widowControl w:val="0"/>
        <w:rPr>
          <w:rFonts w:ascii="Arial" w:hAnsi="Arial" w:cs="Arial"/>
          <w:sz w:val="18"/>
          <w:szCs w:val="18"/>
        </w:rPr>
      </w:pPr>
      <w:r>
        <w:rPr>
          <w:rStyle w:val="Znakypropoznmkupodarou"/>
          <w:rFonts w:eastAsiaTheme="majorEastAsia"/>
        </w:rPr>
        <w:footnoteRef/>
      </w:r>
      <w:r>
        <w:rPr>
          <w:rFonts w:ascii="Arial" w:hAnsi="Arial" w:cs="Arial"/>
          <w:sz w:val="18"/>
          <w:szCs w:val="18"/>
        </w:rPr>
        <w:t xml:space="preserve"> H- hodnotitel, P - panelista </w:t>
      </w:r>
    </w:p>
  </w:footnote>
  <w:footnote w:id="161">
    <w:p w14:paraId="348AD36F" w14:textId="77777777" w:rsidR="00317816" w:rsidRDefault="00317816" w:rsidP="00317816">
      <w:pPr>
        <w:pStyle w:val="Textpoznpodarou"/>
        <w:widowControl w:val="0"/>
        <w:rPr>
          <w:rFonts w:ascii="Arial" w:hAnsi="Arial" w:cs="Arial"/>
          <w:sz w:val="18"/>
          <w:szCs w:val="18"/>
        </w:rPr>
      </w:pPr>
      <w:r>
        <w:rPr>
          <w:rStyle w:val="Znakypropoznmkupodarou"/>
          <w:rFonts w:eastAsiaTheme="majorEastAsia"/>
        </w:rPr>
        <w:footnoteRef/>
      </w:r>
      <w:r>
        <w:rPr>
          <w:rFonts w:ascii="Arial" w:hAnsi="Arial" w:cs="Arial"/>
          <w:sz w:val="18"/>
          <w:szCs w:val="18"/>
        </w:rPr>
        <w:t xml:space="preserve"> H- hodnotitel, P - panelista </w:t>
      </w:r>
    </w:p>
  </w:footnote>
  <w:footnote w:id="162">
    <w:p w14:paraId="4CDE1394" w14:textId="77777777" w:rsidR="00317816" w:rsidRDefault="00317816" w:rsidP="00317816">
      <w:pPr>
        <w:pStyle w:val="Textpoznpodarou"/>
        <w:widowControl w:val="0"/>
        <w:rPr>
          <w:rFonts w:ascii="Arial" w:hAnsi="Arial" w:cs="Arial"/>
          <w:sz w:val="18"/>
          <w:szCs w:val="18"/>
        </w:rPr>
      </w:pPr>
      <w:r>
        <w:rPr>
          <w:rStyle w:val="Znakypropoznmkupodarou"/>
          <w:rFonts w:eastAsiaTheme="majorEastAsia"/>
        </w:rPr>
        <w:footnoteRef/>
      </w:r>
      <w:r>
        <w:rPr>
          <w:rFonts w:ascii="Arial" w:hAnsi="Arial" w:cs="Arial"/>
          <w:sz w:val="18"/>
          <w:szCs w:val="18"/>
        </w:rPr>
        <w:t xml:space="preserve"> H- hodnotitel, P - panelista </w:t>
      </w:r>
    </w:p>
  </w:footnote>
  <w:footnote w:id="163">
    <w:p w14:paraId="7EA1EED3" w14:textId="77777777" w:rsidR="00317816" w:rsidRDefault="00317816" w:rsidP="00317816">
      <w:pPr>
        <w:pStyle w:val="Textpoznpodarou"/>
        <w:widowControl w:val="0"/>
        <w:rPr>
          <w:rFonts w:ascii="Arial" w:hAnsi="Arial" w:cs="Arial"/>
          <w:sz w:val="18"/>
          <w:szCs w:val="18"/>
        </w:rPr>
      </w:pPr>
      <w:r>
        <w:rPr>
          <w:rStyle w:val="Znakypropoznmkupodarou"/>
          <w:rFonts w:eastAsiaTheme="majorEastAsia"/>
        </w:rPr>
        <w:footnoteRef/>
      </w:r>
      <w:r>
        <w:rPr>
          <w:rFonts w:ascii="Arial" w:hAnsi="Arial" w:cs="Arial"/>
          <w:sz w:val="18"/>
          <w:szCs w:val="18"/>
        </w:rPr>
        <w:t xml:space="preserve"> H- hodnotitel, P - panelista </w:t>
      </w:r>
    </w:p>
  </w:footnote>
  <w:footnote w:id="164">
    <w:p w14:paraId="25542198" w14:textId="77777777" w:rsidR="00317816" w:rsidRDefault="00317816" w:rsidP="00317816">
      <w:pPr>
        <w:pStyle w:val="Textpoznpodarou"/>
        <w:widowControl w:val="0"/>
        <w:rPr>
          <w:rFonts w:ascii="Arial" w:hAnsi="Arial" w:cs="Arial"/>
          <w:sz w:val="18"/>
          <w:szCs w:val="18"/>
        </w:rPr>
      </w:pPr>
      <w:r>
        <w:rPr>
          <w:rStyle w:val="Znakypropoznmkupodarou"/>
          <w:rFonts w:eastAsiaTheme="majorEastAsia"/>
        </w:rPr>
        <w:footnoteRef/>
      </w:r>
      <w:r>
        <w:rPr>
          <w:rFonts w:ascii="Arial" w:hAnsi="Arial" w:cs="Arial"/>
          <w:sz w:val="18"/>
          <w:szCs w:val="18"/>
        </w:rPr>
        <w:t xml:space="preserve"> H- hodnotitel, P - panelista </w:t>
      </w:r>
    </w:p>
  </w:footnote>
  <w:footnote w:id="165">
    <w:p w14:paraId="1BACB6A3" w14:textId="77777777" w:rsidR="00317816" w:rsidRDefault="00317816" w:rsidP="00317816">
      <w:pPr>
        <w:pStyle w:val="Textpoznpodarou"/>
        <w:widowControl w:val="0"/>
        <w:rPr>
          <w:rFonts w:ascii="Arial" w:hAnsi="Arial" w:cs="Arial"/>
          <w:sz w:val="18"/>
          <w:szCs w:val="18"/>
        </w:rPr>
      </w:pPr>
      <w:r>
        <w:rPr>
          <w:rStyle w:val="Znakypropoznmkupodarou"/>
          <w:rFonts w:eastAsiaTheme="majorEastAsia"/>
        </w:rPr>
        <w:footnoteRef/>
      </w:r>
      <w:r>
        <w:rPr>
          <w:rFonts w:ascii="Arial" w:hAnsi="Arial" w:cs="Arial"/>
          <w:sz w:val="18"/>
          <w:szCs w:val="18"/>
        </w:rPr>
        <w:t xml:space="preserve"> H- hodnotitel, P - panelista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0925B" w14:textId="77777777" w:rsidR="008776CF" w:rsidRDefault="008776CF" w:rsidP="008776CF">
    <w:pPr>
      <w:pStyle w:val="Zhlav"/>
    </w:pPr>
    <w:r>
      <w:rPr>
        <w:noProof/>
      </w:rPr>
      <mc:AlternateContent>
        <mc:Choice Requires="wps">
          <w:drawing>
            <wp:anchor distT="0" distB="0" distL="0" distR="0" simplePos="0" relativeHeight="251662336" behindDoc="1" locked="0" layoutInCell="1" allowOverlap="1" wp14:anchorId="34FFA561" wp14:editId="4E785A5F">
              <wp:simplePos x="0" y="0"/>
              <wp:positionH relativeFrom="margin">
                <wp:posOffset>4961729</wp:posOffset>
              </wp:positionH>
              <wp:positionV relativeFrom="topMargin">
                <wp:posOffset>695505</wp:posOffset>
              </wp:positionV>
              <wp:extent cx="1104596" cy="333375"/>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596" cy="333375"/>
                      </a:xfrm>
                      <a:prstGeom prst="rect">
                        <a:avLst/>
                      </a:prstGeom>
                    </wps:spPr>
                    <wps:txbx>
                      <w:txbxContent>
                        <w:p w14:paraId="4EB5EAFE" w14:textId="77777777" w:rsidR="008776CF" w:rsidRPr="00B13622" w:rsidRDefault="008776CF" w:rsidP="008776CF">
                          <w:pPr>
                            <w:spacing w:before="5"/>
                            <w:ind w:left="20"/>
                            <w:jc w:val="right"/>
                            <w:rPr>
                              <w:rFonts w:ascii="Arial" w:hAnsi="Arial" w:cs="Arial"/>
                              <w:b/>
                              <w:sz w:val="44"/>
                            </w:rPr>
                          </w:pPr>
                          <w:r w:rsidRPr="00B13622">
                            <w:rPr>
                              <w:rFonts w:ascii="Arial" w:hAnsi="Arial" w:cs="Arial"/>
                              <w:b/>
                              <w:color w:val="161A48"/>
                              <w:sz w:val="28"/>
                              <w:szCs w:val="28"/>
                            </w:rPr>
                            <w:t>41</w:t>
                          </w:r>
                          <w:r>
                            <w:rPr>
                              <w:rFonts w:ascii="Arial" w:hAnsi="Arial" w:cs="Arial"/>
                              <w:b/>
                              <w:color w:val="161A48"/>
                              <w:sz w:val="28"/>
                              <w:szCs w:val="28"/>
                            </w:rPr>
                            <w:t>9</w:t>
                          </w:r>
                          <w:r w:rsidRPr="00B13622">
                            <w:rPr>
                              <w:rFonts w:ascii="Arial" w:hAnsi="Arial" w:cs="Arial"/>
                              <w:b/>
                              <w:color w:val="161A48"/>
                              <w:sz w:val="28"/>
                              <w:szCs w:val="28"/>
                            </w:rPr>
                            <w:t>/</w:t>
                          </w:r>
                          <w:r>
                            <w:rPr>
                              <w:rFonts w:ascii="Arial" w:hAnsi="Arial" w:cs="Arial"/>
                              <w:b/>
                              <w:color w:val="161A48"/>
                              <w:sz w:val="28"/>
                              <w:szCs w:val="28"/>
                            </w:rPr>
                            <w:t>A5</w:t>
                          </w:r>
                        </w:p>
                      </w:txbxContent>
                    </wps:txbx>
                    <wps:bodyPr wrap="square" lIns="0" tIns="0" rIns="0" bIns="0" rtlCol="0">
                      <a:noAutofit/>
                    </wps:bodyPr>
                  </wps:wsp>
                </a:graphicData>
              </a:graphic>
              <wp14:sizeRelH relativeFrom="margin">
                <wp14:pctWidth>0</wp14:pctWidth>
              </wp14:sizeRelH>
            </wp:anchor>
          </w:drawing>
        </mc:Choice>
        <mc:Fallback>
          <w:pict>
            <v:shapetype w14:anchorId="34FFA561" id="_x0000_t202" coordsize="21600,21600" o:spt="202" path="m,l,21600r21600,l21600,xe">
              <v:stroke joinstyle="miter"/>
              <v:path gradientshapeok="t" o:connecttype="rect"/>
            </v:shapetype>
            <v:shape id="Textbox 46" o:spid="_x0000_s1026" type="#_x0000_t202" style="position:absolute;margin-left:390.7pt;margin-top:54.75pt;width:87pt;height:26.25pt;z-index:-251654144;visibility:visible;mso-wrap-style:square;mso-width-percent:0;mso-wrap-distance-left:0;mso-wrap-distance-top:0;mso-wrap-distance-right:0;mso-wrap-distance-bottom:0;mso-position-horizontal:absolute;mso-position-horizontal-relative:margin;mso-position-vertical:absolute;mso-position-vertical-relative:top-margin-area;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" filled="f" stroked="f">
              <v:textbox inset="0,0,0,0">
                <w:txbxContent>
                  <w:p w14:paraId="4EB5EAFE" w14:textId="77777777" w:rsidR="008776CF" w:rsidRPr="00B13622" w:rsidRDefault="008776CF" w:rsidP="008776CF">
                    <w:pPr>
                      <w:spacing w:before="5"/>
                      <w:ind w:left="20"/>
                      <w:jc w:val="right"/>
                      <w:rPr>
                        <w:rFonts w:ascii="Arial" w:hAnsi="Arial" w:cs="Arial"/>
                        <w:b/>
                        <w:sz w:val="44"/>
                      </w:rPr>
                    </w:pPr>
                    <w:r w:rsidRPr="00B13622">
                      <w:rPr>
                        <w:rFonts w:ascii="Arial" w:hAnsi="Arial" w:cs="Arial"/>
                        <w:b/>
                        <w:color w:val="161A48"/>
                        <w:sz w:val="28"/>
                        <w:szCs w:val="28"/>
                      </w:rPr>
                      <w:t>41</w:t>
                    </w:r>
                    <w:r>
                      <w:rPr>
                        <w:rFonts w:ascii="Arial" w:hAnsi="Arial" w:cs="Arial"/>
                        <w:b/>
                        <w:color w:val="161A48"/>
                        <w:sz w:val="28"/>
                        <w:szCs w:val="28"/>
                      </w:rPr>
                      <w:t>9</w:t>
                    </w:r>
                    <w:r w:rsidRPr="00B13622">
                      <w:rPr>
                        <w:rFonts w:ascii="Arial" w:hAnsi="Arial" w:cs="Arial"/>
                        <w:b/>
                        <w:color w:val="161A48"/>
                        <w:sz w:val="28"/>
                        <w:szCs w:val="28"/>
                      </w:rPr>
                      <w:t>/</w:t>
                    </w:r>
                    <w:r>
                      <w:rPr>
                        <w:rFonts w:ascii="Arial" w:hAnsi="Arial" w:cs="Arial"/>
                        <w:b/>
                        <w:color w:val="161A48"/>
                        <w:sz w:val="28"/>
                        <w:szCs w:val="28"/>
                      </w:rPr>
                      <w:t>A5</w:t>
                    </w:r>
                  </w:p>
                </w:txbxContent>
              </v:textbox>
              <w10:wrap anchorx="margin" anchory="margin"/>
            </v:shape>
          </w:pict>
        </mc:Fallback>
      </mc:AlternateContent>
    </w:r>
    <w:r>
      <w:rPr>
        <w:noProof/>
      </w:rPr>
      <w:drawing>
        <wp:anchor distT="152400" distB="152400" distL="152400" distR="152400" simplePos="0" relativeHeight="251661312" behindDoc="1" locked="1" layoutInCell="1" allowOverlap="0" wp14:anchorId="7A2FCA12" wp14:editId="16681365">
          <wp:simplePos x="0" y="0"/>
          <wp:positionH relativeFrom="margin">
            <wp:posOffset>-48260</wp:posOffset>
          </wp:positionH>
          <wp:positionV relativeFrom="topMargin">
            <wp:posOffset>587375</wp:posOffset>
          </wp:positionV>
          <wp:extent cx="2206625" cy="647700"/>
          <wp:effectExtent l="0" t="0" r="3175" b="0"/>
          <wp:wrapNone/>
          <wp:docPr id="551844123" name="officeArt object" descr="vložený-obrázek.p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vložený-obrázek.pdf" descr="vložený-obrázek.pdf"/>
                  <pic:cNvPicPr>
                    <a:picLocks noChangeAspect="1"/>
                  </pic:cNvPicPr>
                </pic:nvPicPr>
                <pic:blipFill>
                  <a:blip r:embed="rId1"/>
                  <a:stretch>
                    <a:fillRect/>
                  </a:stretch>
                </pic:blipFill>
                <pic:spPr>
                  <a:xfrm>
                    <a:off x="0" y="0"/>
                    <a:ext cx="2206625" cy="647700"/>
                  </a:xfrm>
                  <a:prstGeom prst="rect">
                    <a:avLst/>
                  </a:prstGeom>
                  <a:ln w="12700" cap="flat">
                    <a:noFill/>
                    <a:miter lim="400000"/>
                  </a:ln>
                  <a:effectLst/>
                </pic:spPr>
              </pic:pic>
            </a:graphicData>
          </a:graphic>
          <wp14:sizeRelH relativeFrom="margin">
            <wp14:pctWidth>0</wp14:pctWidth>
          </wp14:sizeRelH>
          <wp14:sizeRelV relativeFrom="margin">
            <wp14:pctHeight>0</wp14:pctHeight>
          </wp14:sizeRelV>
        </wp:anchor>
      </w:drawing>
    </w:r>
  </w:p>
  <w:p w14:paraId="13FB913E" w14:textId="77777777" w:rsidR="008776CF" w:rsidRPr="00151453" w:rsidRDefault="008776CF" w:rsidP="008776CF">
    <w:pPr>
      <w:pStyle w:val="Zhlav"/>
    </w:pPr>
  </w:p>
  <w:p w14:paraId="66E52CB1" w14:textId="77777777" w:rsidR="008776CF" w:rsidRPr="008776CF" w:rsidRDefault="008776CF" w:rsidP="008776CF">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029"/>
    <w:multiLevelType w:val="multilevel"/>
    <w:tmpl w:val="C2E42506"/>
    <w:lvl w:ilvl="0">
      <w:start w:val="1"/>
      <w:numFmt w:val="lowerLetter"/>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078647B9"/>
    <w:multiLevelType w:val="multilevel"/>
    <w:tmpl w:val="86920E84"/>
    <w:lvl w:ilvl="0">
      <w:start w:val="1"/>
      <w:numFmt w:val="bullet"/>
      <w:lvlText w:val=""/>
      <w:lvlJc w:val="left"/>
      <w:pPr>
        <w:tabs>
          <w:tab w:val="num" w:pos="0"/>
        </w:tabs>
        <w:ind w:left="1077" w:hanging="360"/>
      </w:pPr>
      <w:rPr>
        <w:rFonts w:ascii="Symbol" w:hAnsi="Symbol" w:cs="Symbol"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2" w15:restartNumberingAfterBreak="0">
    <w:nsid w:val="0BD52903"/>
    <w:multiLevelType w:val="multilevel"/>
    <w:tmpl w:val="48E2969A"/>
    <w:lvl w:ilvl="0">
      <w:start w:val="1"/>
      <w:numFmt w:val="taiwaneseCountingThousand"/>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ECD7C1B"/>
    <w:multiLevelType w:val="multilevel"/>
    <w:tmpl w:val="C0343F0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F1A1617"/>
    <w:multiLevelType w:val="multilevel"/>
    <w:tmpl w:val="32C662DA"/>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0E84864"/>
    <w:multiLevelType w:val="multilevel"/>
    <w:tmpl w:val="F37CA038"/>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6" w15:restartNumberingAfterBreak="0">
    <w:nsid w:val="13252F7F"/>
    <w:multiLevelType w:val="multilevel"/>
    <w:tmpl w:val="B33C7C7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16F263F4"/>
    <w:multiLevelType w:val="multilevel"/>
    <w:tmpl w:val="B44E9250"/>
    <w:lvl w:ilvl="0">
      <w:start w:val="1"/>
      <w:numFmt w:val="lowerLetter"/>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15:restartNumberingAfterBreak="0">
    <w:nsid w:val="1F194A5B"/>
    <w:multiLevelType w:val="multilevel"/>
    <w:tmpl w:val="A31A85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0D25C7D"/>
    <w:multiLevelType w:val="hybridMultilevel"/>
    <w:tmpl w:val="0B922EF0"/>
    <w:lvl w:ilvl="0" w:tplc="7AEC51A2">
      <w:start w:val="1"/>
      <w:numFmt w:val="decimal"/>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abstractNum w:abstractNumId="10" w15:restartNumberingAfterBreak="0">
    <w:nsid w:val="23F3482B"/>
    <w:multiLevelType w:val="multilevel"/>
    <w:tmpl w:val="A39C324A"/>
    <w:lvl w:ilvl="0">
      <w:start w:val="1"/>
      <w:numFmt w:val="bullet"/>
      <w:lvlText w:val=""/>
      <w:lvlJc w:val="left"/>
      <w:pPr>
        <w:tabs>
          <w:tab w:val="num" w:pos="0"/>
        </w:tabs>
        <w:ind w:left="1077" w:hanging="360"/>
      </w:pPr>
      <w:rPr>
        <w:rFonts w:ascii="Symbol" w:hAnsi="Symbol" w:cs="Symbol" w:hint="default"/>
      </w:rPr>
    </w:lvl>
    <w:lvl w:ilvl="1">
      <w:start w:val="1"/>
      <w:numFmt w:val="bullet"/>
      <w:lvlText w:val="o"/>
      <w:lvlJc w:val="left"/>
      <w:pPr>
        <w:tabs>
          <w:tab w:val="num" w:pos="0"/>
        </w:tabs>
        <w:ind w:left="1797" w:hanging="360"/>
      </w:pPr>
      <w:rPr>
        <w:rFonts w:ascii="Courier New" w:hAnsi="Courier New" w:cs="Courier New" w:hint="default"/>
      </w:rPr>
    </w:lvl>
    <w:lvl w:ilvl="2">
      <w:start w:val="1"/>
      <w:numFmt w:val="bullet"/>
      <w:lvlText w:val=""/>
      <w:lvlJc w:val="left"/>
      <w:pPr>
        <w:tabs>
          <w:tab w:val="num" w:pos="0"/>
        </w:tabs>
        <w:ind w:left="2517" w:hanging="360"/>
      </w:pPr>
      <w:rPr>
        <w:rFonts w:ascii="Wingdings" w:hAnsi="Wingdings" w:cs="Wingdings" w:hint="default"/>
      </w:rPr>
    </w:lvl>
    <w:lvl w:ilvl="3">
      <w:start w:val="1"/>
      <w:numFmt w:val="bullet"/>
      <w:lvlText w:val=""/>
      <w:lvlJc w:val="left"/>
      <w:pPr>
        <w:tabs>
          <w:tab w:val="num" w:pos="0"/>
        </w:tabs>
        <w:ind w:left="3237" w:hanging="360"/>
      </w:pPr>
      <w:rPr>
        <w:rFonts w:ascii="Symbol" w:hAnsi="Symbol" w:cs="Symbol" w:hint="default"/>
      </w:rPr>
    </w:lvl>
    <w:lvl w:ilvl="4">
      <w:start w:val="1"/>
      <w:numFmt w:val="bullet"/>
      <w:lvlText w:val="o"/>
      <w:lvlJc w:val="left"/>
      <w:pPr>
        <w:tabs>
          <w:tab w:val="num" w:pos="0"/>
        </w:tabs>
        <w:ind w:left="3957" w:hanging="360"/>
      </w:pPr>
      <w:rPr>
        <w:rFonts w:ascii="Courier New" w:hAnsi="Courier New" w:cs="Courier New" w:hint="default"/>
      </w:rPr>
    </w:lvl>
    <w:lvl w:ilvl="5">
      <w:start w:val="1"/>
      <w:numFmt w:val="bullet"/>
      <w:lvlText w:val=""/>
      <w:lvlJc w:val="left"/>
      <w:pPr>
        <w:tabs>
          <w:tab w:val="num" w:pos="0"/>
        </w:tabs>
        <w:ind w:left="4677" w:hanging="360"/>
      </w:pPr>
      <w:rPr>
        <w:rFonts w:ascii="Wingdings" w:hAnsi="Wingdings" w:cs="Wingdings" w:hint="default"/>
      </w:rPr>
    </w:lvl>
    <w:lvl w:ilvl="6">
      <w:start w:val="1"/>
      <w:numFmt w:val="bullet"/>
      <w:lvlText w:val=""/>
      <w:lvlJc w:val="left"/>
      <w:pPr>
        <w:tabs>
          <w:tab w:val="num" w:pos="0"/>
        </w:tabs>
        <w:ind w:left="5397" w:hanging="360"/>
      </w:pPr>
      <w:rPr>
        <w:rFonts w:ascii="Symbol" w:hAnsi="Symbol" w:cs="Symbol" w:hint="default"/>
      </w:rPr>
    </w:lvl>
    <w:lvl w:ilvl="7">
      <w:start w:val="1"/>
      <w:numFmt w:val="bullet"/>
      <w:lvlText w:val="o"/>
      <w:lvlJc w:val="left"/>
      <w:pPr>
        <w:tabs>
          <w:tab w:val="num" w:pos="0"/>
        </w:tabs>
        <w:ind w:left="6117" w:hanging="360"/>
      </w:pPr>
      <w:rPr>
        <w:rFonts w:ascii="Courier New" w:hAnsi="Courier New" w:cs="Courier New" w:hint="default"/>
      </w:rPr>
    </w:lvl>
    <w:lvl w:ilvl="8">
      <w:start w:val="1"/>
      <w:numFmt w:val="bullet"/>
      <w:lvlText w:val=""/>
      <w:lvlJc w:val="left"/>
      <w:pPr>
        <w:tabs>
          <w:tab w:val="num" w:pos="0"/>
        </w:tabs>
        <w:ind w:left="6837" w:hanging="360"/>
      </w:pPr>
      <w:rPr>
        <w:rFonts w:ascii="Wingdings" w:hAnsi="Wingdings" w:cs="Wingdings" w:hint="default"/>
      </w:rPr>
    </w:lvl>
  </w:abstractNum>
  <w:abstractNum w:abstractNumId="11" w15:restartNumberingAfterBreak="0">
    <w:nsid w:val="250F59E8"/>
    <w:multiLevelType w:val="multilevel"/>
    <w:tmpl w:val="0068180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2" w15:restartNumberingAfterBreak="0">
    <w:nsid w:val="262759ED"/>
    <w:multiLevelType w:val="multilevel"/>
    <w:tmpl w:val="36DCE30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2BC566E1"/>
    <w:multiLevelType w:val="multilevel"/>
    <w:tmpl w:val="0044818E"/>
    <w:lvl w:ilvl="0">
      <w:start w:val="1"/>
      <w:numFmt w:val="bullet"/>
      <w:lvlText w:val=""/>
      <w:lvlJc w:val="left"/>
      <w:pPr>
        <w:tabs>
          <w:tab w:val="num" w:pos="0"/>
        </w:tabs>
        <w:ind w:left="1776" w:hanging="360"/>
      </w:pPr>
      <w:rPr>
        <w:rFonts w:ascii="Wingdings" w:hAnsi="Wingdings" w:cs="Wingdings"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14" w15:restartNumberingAfterBreak="0">
    <w:nsid w:val="2CBA0F79"/>
    <w:multiLevelType w:val="multilevel"/>
    <w:tmpl w:val="94563F6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5" w15:restartNumberingAfterBreak="0">
    <w:nsid w:val="307B27C5"/>
    <w:multiLevelType w:val="multilevel"/>
    <w:tmpl w:val="B2A29B4C"/>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6" w15:restartNumberingAfterBreak="0">
    <w:nsid w:val="3413087A"/>
    <w:multiLevelType w:val="multilevel"/>
    <w:tmpl w:val="D228E53A"/>
    <w:lvl w:ilvl="0">
      <w:start w:val="1"/>
      <w:numFmt w:val="bullet"/>
      <w:lvlText w:val="o"/>
      <w:lvlJc w:val="left"/>
      <w:pPr>
        <w:tabs>
          <w:tab w:val="num" w:pos="0"/>
        </w:tabs>
        <w:ind w:left="1437" w:hanging="360"/>
      </w:pPr>
      <w:rPr>
        <w:rFonts w:ascii="Courier New" w:hAnsi="Courier New" w:cs="Courier New" w:hint="default"/>
      </w:rPr>
    </w:lvl>
    <w:lvl w:ilvl="1">
      <w:start w:val="1"/>
      <w:numFmt w:val="bullet"/>
      <w:lvlText w:val="o"/>
      <w:lvlJc w:val="left"/>
      <w:pPr>
        <w:tabs>
          <w:tab w:val="num" w:pos="0"/>
        </w:tabs>
        <w:ind w:left="2157" w:hanging="360"/>
      </w:pPr>
      <w:rPr>
        <w:rFonts w:ascii="Courier New" w:hAnsi="Courier New" w:cs="Courier New" w:hint="default"/>
      </w:rPr>
    </w:lvl>
    <w:lvl w:ilvl="2">
      <w:start w:val="1"/>
      <w:numFmt w:val="bullet"/>
      <w:lvlText w:val=""/>
      <w:lvlJc w:val="left"/>
      <w:pPr>
        <w:tabs>
          <w:tab w:val="num" w:pos="0"/>
        </w:tabs>
        <w:ind w:left="2877" w:hanging="360"/>
      </w:pPr>
      <w:rPr>
        <w:rFonts w:ascii="Wingdings" w:hAnsi="Wingdings" w:cs="Wingdings" w:hint="default"/>
      </w:rPr>
    </w:lvl>
    <w:lvl w:ilvl="3">
      <w:start w:val="1"/>
      <w:numFmt w:val="bullet"/>
      <w:lvlText w:val=""/>
      <w:lvlJc w:val="left"/>
      <w:pPr>
        <w:tabs>
          <w:tab w:val="num" w:pos="0"/>
        </w:tabs>
        <w:ind w:left="3597" w:hanging="360"/>
      </w:pPr>
      <w:rPr>
        <w:rFonts w:ascii="Symbol" w:hAnsi="Symbol" w:cs="Symbol" w:hint="default"/>
      </w:rPr>
    </w:lvl>
    <w:lvl w:ilvl="4">
      <w:start w:val="1"/>
      <w:numFmt w:val="bullet"/>
      <w:lvlText w:val="o"/>
      <w:lvlJc w:val="left"/>
      <w:pPr>
        <w:tabs>
          <w:tab w:val="num" w:pos="0"/>
        </w:tabs>
        <w:ind w:left="4317" w:hanging="360"/>
      </w:pPr>
      <w:rPr>
        <w:rFonts w:ascii="Courier New" w:hAnsi="Courier New" w:cs="Courier New" w:hint="default"/>
      </w:rPr>
    </w:lvl>
    <w:lvl w:ilvl="5">
      <w:start w:val="1"/>
      <w:numFmt w:val="bullet"/>
      <w:lvlText w:val=""/>
      <w:lvlJc w:val="left"/>
      <w:pPr>
        <w:tabs>
          <w:tab w:val="num" w:pos="0"/>
        </w:tabs>
        <w:ind w:left="5037" w:hanging="360"/>
      </w:pPr>
      <w:rPr>
        <w:rFonts w:ascii="Wingdings" w:hAnsi="Wingdings" w:cs="Wingdings" w:hint="default"/>
      </w:rPr>
    </w:lvl>
    <w:lvl w:ilvl="6">
      <w:start w:val="1"/>
      <w:numFmt w:val="bullet"/>
      <w:lvlText w:val=""/>
      <w:lvlJc w:val="left"/>
      <w:pPr>
        <w:tabs>
          <w:tab w:val="num" w:pos="0"/>
        </w:tabs>
        <w:ind w:left="5757" w:hanging="360"/>
      </w:pPr>
      <w:rPr>
        <w:rFonts w:ascii="Symbol" w:hAnsi="Symbol" w:cs="Symbol" w:hint="default"/>
      </w:rPr>
    </w:lvl>
    <w:lvl w:ilvl="7">
      <w:start w:val="1"/>
      <w:numFmt w:val="bullet"/>
      <w:lvlText w:val="o"/>
      <w:lvlJc w:val="left"/>
      <w:pPr>
        <w:tabs>
          <w:tab w:val="num" w:pos="0"/>
        </w:tabs>
        <w:ind w:left="6477" w:hanging="360"/>
      </w:pPr>
      <w:rPr>
        <w:rFonts w:ascii="Courier New" w:hAnsi="Courier New" w:cs="Courier New" w:hint="default"/>
      </w:rPr>
    </w:lvl>
    <w:lvl w:ilvl="8">
      <w:start w:val="1"/>
      <w:numFmt w:val="bullet"/>
      <w:lvlText w:val=""/>
      <w:lvlJc w:val="left"/>
      <w:pPr>
        <w:tabs>
          <w:tab w:val="num" w:pos="0"/>
        </w:tabs>
        <w:ind w:left="7197" w:hanging="360"/>
      </w:pPr>
      <w:rPr>
        <w:rFonts w:ascii="Wingdings" w:hAnsi="Wingdings" w:cs="Wingdings" w:hint="default"/>
      </w:rPr>
    </w:lvl>
  </w:abstractNum>
  <w:abstractNum w:abstractNumId="17" w15:restartNumberingAfterBreak="0">
    <w:nsid w:val="3B1304CA"/>
    <w:multiLevelType w:val="multilevel"/>
    <w:tmpl w:val="B0E27634"/>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8" w15:restartNumberingAfterBreak="0">
    <w:nsid w:val="3E7E211D"/>
    <w:multiLevelType w:val="multilevel"/>
    <w:tmpl w:val="FDD4554E"/>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9" w15:restartNumberingAfterBreak="0">
    <w:nsid w:val="42B44478"/>
    <w:multiLevelType w:val="multilevel"/>
    <w:tmpl w:val="DA34AB88"/>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0" w15:restartNumberingAfterBreak="0">
    <w:nsid w:val="4BD32697"/>
    <w:multiLevelType w:val="multilevel"/>
    <w:tmpl w:val="AB8831EC"/>
    <w:lvl w:ilvl="0">
      <w:start w:val="1"/>
      <w:numFmt w:val="lowerLetter"/>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4DB3207C"/>
    <w:multiLevelType w:val="multilevel"/>
    <w:tmpl w:val="FA648944"/>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2" w15:restartNumberingAfterBreak="0">
    <w:nsid w:val="4DDB7D63"/>
    <w:multiLevelType w:val="multilevel"/>
    <w:tmpl w:val="288AAE16"/>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4F50056D"/>
    <w:multiLevelType w:val="multilevel"/>
    <w:tmpl w:val="A9DC03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4FDF6509"/>
    <w:multiLevelType w:val="multilevel"/>
    <w:tmpl w:val="94CCE59A"/>
    <w:lvl w:ilvl="0">
      <w:start w:val="6"/>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50936A35"/>
    <w:multiLevelType w:val="multilevel"/>
    <w:tmpl w:val="89A63D8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55904064"/>
    <w:multiLevelType w:val="multilevel"/>
    <w:tmpl w:val="18388C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574070C2"/>
    <w:multiLevelType w:val="multilevel"/>
    <w:tmpl w:val="362A6140"/>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8" w15:restartNumberingAfterBreak="0">
    <w:nsid w:val="596843AF"/>
    <w:multiLevelType w:val="multilevel"/>
    <w:tmpl w:val="BD20F0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B6E4504"/>
    <w:multiLevelType w:val="multilevel"/>
    <w:tmpl w:val="C0B0A700"/>
    <w:lvl w:ilvl="0">
      <w:start w:val="1"/>
      <w:numFmt w:val="bullet"/>
      <w:lvlText w:val="o"/>
      <w:lvlJc w:val="left"/>
      <w:pPr>
        <w:tabs>
          <w:tab w:val="num" w:pos="0"/>
        </w:tabs>
        <w:ind w:left="1437" w:hanging="360"/>
      </w:pPr>
      <w:rPr>
        <w:rFonts w:ascii="Courier New" w:hAnsi="Courier New" w:cs="Courier New" w:hint="default"/>
      </w:rPr>
    </w:lvl>
    <w:lvl w:ilvl="1">
      <w:start w:val="1"/>
      <w:numFmt w:val="bullet"/>
      <w:lvlText w:val="o"/>
      <w:lvlJc w:val="left"/>
      <w:pPr>
        <w:tabs>
          <w:tab w:val="num" w:pos="0"/>
        </w:tabs>
        <w:ind w:left="2157" w:hanging="360"/>
      </w:pPr>
      <w:rPr>
        <w:rFonts w:ascii="Courier New" w:hAnsi="Courier New" w:cs="Courier New" w:hint="default"/>
      </w:rPr>
    </w:lvl>
    <w:lvl w:ilvl="2">
      <w:start w:val="1"/>
      <w:numFmt w:val="bullet"/>
      <w:lvlText w:val=""/>
      <w:lvlJc w:val="left"/>
      <w:pPr>
        <w:tabs>
          <w:tab w:val="num" w:pos="0"/>
        </w:tabs>
        <w:ind w:left="2877" w:hanging="360"/>
      </w:pPr>
      <w:rPr>
        <w:rFonts w:ascii="Wingdings" w:hAnsi="Wingdings" w:cs="Wingdings" w:hint="default"/>
      </w:rPr>
    </w:lvl>
    <w:lvl w:ilvl="3">
      <w:start w:val="1"/>
      <w:numFmt w:val="bullet"/>
      <w:lvlText w:val=""/>
      <w:lvlJc w:val="left"/>
      <w:pPr>
        <w:tabs>
          <w:tab w:val="num" w:pos="0"/>
        </w:tabs>
        <w:ind w:left="3597" w:hanging="360"/>
      </w:pPr>
      <w:rPr>
        <w:rFonts w:ascii="Symbol" w:hAnsi="Symbol" w:cs="Symbol" w:hint="default"/>
      </w:rPr>
    </w:lvl>
    <w:lvl w:ilvl="4">
      <w:start w:val="1"/>
      <w:numFmt w:val="bullet"/>
      <w:lvlText w:val="o"/>
      <w:lvlJc w:val="left"/>
      <w:pPr>
        <w:tabs>
          <w:tab w:val="num" w:pos="0"/>
        </w:tabs>
        <w:ind w:left="4317" w:hanging="360"/>
      </w:pPr>
      <w:rPr>
        <w:rFonts w:ascii="Courier New" w:hAnsi="Courier New" w:cs="Courier New" w:hint="default"/>
      </w:rPr>
    </w:lvl>
    <w:lvl w:ilvl="5">
      <w:start w:val="1"/>
      <w:numFmt w:val="bullet"/>
      <w:lvlText w:val=""/>
      <w:lvlJc w:val="left"/>
      <w:pPr>
        <w:tabs>
          <w:tab w:val="num" w:pos="0"/>
        </w:tabs>
        <w:ind w:left="5037" w:hanging="360"/>
      </w:pPr>
      <w:rPr>
        <w:rFonts w:ascii="Wingdings" w:hAnsi="Wingdings" w:cs="Wingdings" w:hint="default"/>
      </w:rPr>
    </w:lvl>
    <w:lvl w:ilvl="6">
      <w:start w:val="1"/>
      <w:numFmt w:val="bullet"/>
      <w:lvlText w:val=""/>
      <w:lvlJc w:val="left"/>
      <w:pPr>
        <w:tabs>
          <w:tab w:val="num" w:pos="0"/>
        </w:tabs>
        <w:ind w:left="5757" w:hanging="360"/>
      </w:pPr>
      <w:rPr>
        <w:rFonts w:ascii="Symbol" w:hAnsi="Symbol" w:cs="Symbol" w:hint="default"/>
      </w:rPr>
    </w:lvl>
    <w:lvl w:ilvl="7">
      <w:start w:val="1"/>
      <w:numFmt w:val="bullet"/>
      <w:lvlText w:val="o"/>
      <w:lvlJc w:val="left"/>
      <w:pPr>
        <w:tabs>
          <w:tab w:val="num" w:pos="0"/>
        </w:tabs>
        <w:ind w:left="6477" w:hanging="360"/>
      </w:pPr>
      <w:rPr>
        <w:rFonts w:ascii="Courier New" w:hAnsi="Courier New" w:cs="Courier New" w:hint="default"/>
      </w:rPr>
    </w:lvl>
    <w:lvl w:ilvl="8">
      <w:start w:val="1"/>
      <w:numFmt w:val="bullet"/>
      <w:lvlText w:val=""/>
      <w:lvlJc w:val="left"/>
      <w:pPr>
        <w:tabs>
          <w:tab w:val="num" w:pos="0"/>
        </w:tabs>
        <w:ind w:left="7197" w:hanging="360"/>
      </w:pPr>
      <w:rPr>
        <w:rFonts w:ascii="Wingdings" w:hAnsi="Wingdings" w:cs="Wingdings" w:hint="default"/>
      </w:rPr>
    </w:lvl>
  </w:abstractNum>
  <w:abstractNum w:abstractNumId="30" w15:restartNumberingAfterBreak="0">
    <w:nsid w:val="627C7799"/>
    <w:multiLevelType w:val="multilevel"/>
    <w:tmpl w:val="D9A05AE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1" w15:restartNumberingAfterBreak="0">
    <w:nsid w:val="641B1EF9"/>
    <w:multiLevelType w:val="multilevel"/>
    <w:tmpl w:val="654801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696B7C16"/>
    <w:multiLevelType w:val="multilevel"/>
    <w:tmpl w:val="6548010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6D080BD6"/>
    <w:multiLevelType w:val="multilevel"/>
    <w:tmpl w:val="9424A29E"/>
    <w:lvl w:ilvl="0">
      <w:start w:val="1"/>
      <w:numFmt w:val="bullet"/>
      <w:lvlText w:val=""/>
      <w:lvlJc w:val="left"/>
      <w:pPr>
        <w:tabs>
          <w:tab w:val="num" w:pos="0"/>
        </w:tabs>
        <w:ind w:left="0" w:firstLine="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4" w15:restartNumberingAfterBreak="0">
    <w:nsid w:val="6D1C29D0"/>
    <w:multiLevelType w:val="multilevel"/>
    <w:tmpl w:val="9B42CDA6"/>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5" w15:restartNumberingAfterBreak="0">
    <w:nsid w:val="71EA7E3F"/>
    <w:multiLevelType w:val="multilevel"/>
    <w:tmpl w:val="F0A6D47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7947709B"/>
    <w:multiLevelType w:val="multilevel"/>
    <w:tmpl w:val="51989D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7" w15:restartNumberingAfterBreak="0">
    <w:nsid w:val="7B4312A8"/>
    <w:multiLevelType w:val="multilevel"/>
    <w:tmpl w:val="D032A4B6"/>
    <w:lvl w:ilvl="0">
      <w:start w:val="1"/>
      <w:numFmt w:val="lowerLetter"/>
      <w:lvlText w:val=""/>
      <w:lvlJc w:val="left"/>
      <w:pPr>
        <w:tabs>
          <w:tab w:val="num" w:pos="0"/>
        </w:tabs>
        <w:ind w:left="0" w:firstLine="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8" w15:restartNumberingAfterBreak="0">
    <w:nsid w:val="7C424784"/>
    <w:multiLevelType w:val="multilevel"/>
    <w:tmpl w:val="871A71C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268582969">
    <w:abstractNumId w:val="32"/>
  </w:num>
  <w:num w:numId="2" w16cid:durableId="1724013837">
    <w:abstractNumId w:val="35"/>
  </w:num>
  <w:num w:numId="3" w16cid:durableId="1829664879">
    <w:abstractNumId w:val="4"/>
  </w:num>
  <w:num w:numId="4" w16cid:durableId="898321715">
    <w:abstractNumId w:val="6"/>
  </w:num>
  <w:num w:numId="5" w16cid:durableId="1447038977">
    <w:abstractNumId w:val="14"/>
  </w:num>
  <w:num w:numId="6" w16cid:durableId="1048069262">
    <w:abstractNumId w:val="0"/>
  </w:num>
  <w:num w:numId="7" w16cid:durableId="1988194912">
    <w:abstractNumId w:val="37"/>
  </w:num>
  <w:num w:numId="8" w16cid:durableId="577207201">
    <w:abstractNumId w:val="7"/>
  </w:num>
  <w:num w:numId="9" w16cid:durableId="1415124032">
    <w:abstractNumId w:val="18"/>
  </w:num>
  <w:num w:numId="10" w16cid:durableId="1643922449">
    <w:abstractNumId w:val="20"/>
  </w:num>
  <w:num w:numId="11" w16cid:durableId="807823855">
    <w:abstractNumId w:val="28"/>
  </w:num>
  <w:num w:numId="12" w16cid:durableId="600727658">
    <w:abstractNumId w:val="17"/>
  </w:num>
  <w:num w:numId="13" w16cid:durableId="1451319798">
    <w:abstractNumId w:val="27"/>
  </w:num>
  <w:num w:numId="14" w16cid:durableId="973869798">
    <w:abstractNumId w:val="22"/>
  </w:num>
  <w:num w:numId="15" w16cid:durableId="1264071556">
    <w:abstractNumId w:val="1"/>
  </w:num>
  <w:num w:numId="16" w16cid:durableId="1647011760">
    <w:abstractNumId w:val="29"/>
  </w:num>
  <w:num w:numId="17" w16cid:durableId="1838038866">
    <w:abstractNumId w:val="13"/>
  </w:num>
  <w:num w:numId="18" w16cid:durableId="865869905">
    <w:abstractNumId w:val="16"/>
  </w:num>
  <w:num w:numId="19" w16cid:durableId="1861119910">
    <w:abstractNumId w:val="10"/>
  </w:num>
  <w:num w:numId="20" w16cid:durableId="681509726">
    <w:abstractNumId w:val="24"/>
  </w:num>
  <w:num w:numId="21" w16cid:durableId="2041079764">
    <w:abstractNumId w:val="33"/>
  </w:num>
  <w:num w:numId="22" w16cid:durableId="1368720605">
    <w:abstractNumId w:val="15"/>
  </w:num>
  <w:num w:numId="23" w16cid:durableId="1486312377">
    <w:abstractNumId w:val="26"/>
  </w:num>
  <w:num w:numId="24" w16cid:durableId="1963731396">
    <w:abstractNumId w:val="2"/>
  </w:num>
  <w:num w:numId="25" w16cid:durableId="1518471068">
    <w:abstractNumId w:val="30"/>
  </w:num>
  <w:num w:numId="26" w16cid:durableId="1036320938">
    <w:abstractNumId w:val="23"/>
  </w:num>
  <w:num w:numId="27" w16cid:durableId="662052887">
    <w:abstractNumId w:val="34"/>
  </w:num>
  <w:num w:numId="28" w16cid:durableId="1039090917">
    <w:abstractNumId w:val="8"/>
  </w:num>
  <w:num w:numId="29" w16cid:durableId="1905067667">
    <w:abstractNumId w:val="12"/>
  </w:num>
  <w:num w:numId="30" w16cid:durableId="947659411">
    <w:abstractNumId w:val="36"/>
  </w:num>
  <w:num w:numId="31" w16cid:durableId="955647379">
    <w:abstractNumId w:val="11"/>
  </w:num>
  <w:num w:numId="32" w16cid:durableId="1374303317">
    <w:abstractNumId w:val="3"/>
  </w:num>
  <w:num w:numId="33" w16cid:durableId="1876380291">
    <w:abstractNumId w:val="19"/>
  </w:num>
  <w:num w:numId="34" w16cid:durableId="2000646054">
    <w:abstractNumId w:val="21"/>
  </w:num>
  <w:num w:numId="35" w16cid:durableId="852764966">
    <w:abstractNumId w:val="25"/>
  </w:num>
  <w:num w:numId="36" w16cid:durableId="1980378104">
    <w:abstractNumId w:val="5"/>
  </w:num>
  <w:num w:numId="37" w16cid:durableId="365716448">
    <w:abstractNumId w:val="38"/>
  </w:num>
  <w:num w:numId="38" w16cid:durableId="501706090">
    <w:abstractNumId w:val="9"/>
  </w:num>
  <w:num w:numId="39" w16cid:durableId="185499761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CC8"/>
    <w:rsid w:val="00010029"/>
    <w:rsid w:val="00014A2E"/>
    <w:rsid w:val="000A7687"/>
    <w:rsid w:val="000F03CC"/>
    <w:rsid w:val="00141B0D"/>
    <w:rsid w:val="0015449A"/>
    <w:rsid w:val="001E4C46"/>
    <w:rsid w:val="001F3321"/>
    <w:rsid w:val="00242B61"/>
    <w:rsid w:val="00246F41"/>
    <w:rsid w:val="002B59E7"/>
    <w:rsid w:val="0030390E"/>
    <w:rsid w:val="00317816"/>
    <w:rsid w:val="003374B6"/>
    <w:rsid w:val="003C778F"/>
    <w:rsid w:val="003E09A9"/>
    <w:rsid w:val="004A602E"/>
    <w:rsid w:val="004B2E5B"/>
    <w:rsid w:val="004B7B15"/>
    <w:rsid w:val="004E476C"/>
    <w:rsid w:val="005A49A1"/>
    <w:rsid w:val="005D6131"/>
    <w:rsid w:val="00602B69"/>
    <w:rsid w:val="006E5D92"/>
    <w:rsid w:val="00704870"/>
    <w:rsid w:val="00715E76"/>
    <w:rsid w:val="00807CF8"/>
    <w:rsid w:val="00834C5D"/>
    <w:rsid w:val="00850601"/>
    <w:rsid w:val="008776CF"/>
    <w:rsid w:val="008800A9"/>
    <w:rsid w:val="00945EDE"/>
    <w:rsid w:val="009645A7"/>
    <w:rsid w:val="00985C28"/>
    <w:rsid w:val="00A07031"/>
    <w:rsid w:val="00A070B1"/>
    <w:rsid w:val="00A320E0"/>
    <w:rsid w:val="00A86872"/>
    <w:rsid w:val="00AA6C21"/>
    <w:rsid w:val="00AB61EA"/>
    <w:rsid w:val="00B8177D"/>
    <w:rsid w:val="00C03633"/>
    <w:rsid w:val="00C24D02"/>
    <w:rsid w:val="00C64C98"/>
    <w:rsid w:val="00C82D7A"/>
    <w:rsid w:val="00D054AE"/>
    <w:rsid w:val="00D54B6F"/>
    <w:rsid w:val="00D65CC8"/>
    <w:rsid w:val="00E263FC"/>
    <w:rsid w:val="00E444AB"/>
    <w:rsid w:val="00ED2A78"/>
    <w:rsid w:val="00F30E2B"/>
    <w:rsid w:val="00F54025"/>
    <w:rsid w:val="00FC6A9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6CF82"/>
  <w15:chartTrackingRefBased/>
  <w15:docId w15:val="{B7DE5237-2364-45BD-802D-713510177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ln">
    <w:name w:val="Normal"/>
    <w:qFormat/>
    <w:rsid w:val="00D65CC8"/>
    <w:pPr>
      <w:suppressAutoHyphens/>
      <w:spacing w:after="0" w:line="240" w:lineRule="auto"/>
    </w:pPr>
    <w:rPr>
      <w:rFonts w:ascii="Times New Roman" w:eastAsia="Times New Roman" w:hAnsi="Times New Roman" w:cs="Times New Roman"/>
      <w:kern w:val="0"/>
      <w:sz w:val="24"/>
      <w:szCs w:val="24"/>
      <w:lang w:eastAsia="cs-CZ"/>
      <w14:ligatures w14:val="none"/>
    </w:rPr>
  </w:style>
  <w:style w:type="paragraph" w:styleId="Nadpis1">
    <w:name w:val="heading 1"/>
    <w:basedOn w:val="Normln"/>
    <w:next w:val="Normln"/>
    <w:link w:val="Nadpis1Char"/>
    <w:uiPriority w:val="9"/>
    <w:qFormat/>
    <w:rsid w:val="00D65CC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D65CC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D65CC8"/>
    <w:pPr>
      <w:keepNext/>
      <w:keepLines/>
      <w:spacing w:before="160" w:after="80"/>
      <w:outlineLvl w:val="2"/>
    </w:pPr>
    <w:rPr>
      <w:rFonts w:eastAsiaTheme="majorEastAsia"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D65CC8"/>
    <w:pPr>
      <w:keepNext/>
      <w:keepLines/>
      <w:spacing w:before="80" w:after="40"/>
      <w:outlineLvl w:val="3"/>
    </w:pPr>
    <w:rPr>
      <w:rFonts w:eastAsiaTheme="majorEastAsia" w:cstheme="majorBidi"/>
      <w:i/>
      <w:iCs/>
      <w:color w:val="2E74B5" w:themeColor="accent1" w:themeShade="BF"/>
    </w:rPr>
  </w:style>
  <w:style w:type="paragraph" w:styleId="Nadpis5">
    <w:name w:val="heading 5"/>
    <w:basedOn w:val="Normln"/>
    <w:next w:val="Normln"/>
    <w:link w:val="Nadpis5Char"/>
    <w:uiPriority w:val="9"/>
    <w:semiHidden/>
    <w:unhideWhenUsed/>
    <w:qFormat/>
    <w:rsid w:val="00D65CC8"/>
    <w:pPr>
      <w:keepNext/>
      <w:keepLines/>
      <w:spacing w:before="80" w:after="40"/>
      <w:outlineLvl w:val="4"/>
    </w:pPr>
    <w:rPr>
      <w:rFonts w:eastAsiaTheme="majorEastAsia" w:cstheme="majorBidi"/>
      <w:color w:val="2E74B5" w:themeColor="accent1" w:themeShade="BF"/>
    </w:rPr>
  </w:style>
  <w:style w:type="paragraph" w:styleId="Nadpis6">
    <w:name w:val="heading 6"/>
    <w:basedOn w:val="Normln"/>
    <w:next w:val="Normln"/>
    <w:link w:val="Nadpis6Char"/>
    <w:uiPriority w:val="9"/>
    <w:semiHidden/>
    <w:unhideWhenUsed/>
    <w:qFormat/>
    <w:rsid w:val="00D65CC8"/>
    <w:pPr>
      <w:keepNext/>
      <w:keepLines/>
      <w:spacing w:before="4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D65CC8"/>
    <w:pPr>
      <w:keepNext/>
      <w:keepLines/>
      <w:spacing w:before="4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D65CC8"/>
    <w:pPr>
      <w:keepNext/>
      <w:keepLines/>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D65CC8"/>
    <w:pPr>
      <w:keepNext/>
      <w:keepLines/>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qFormat/>
    <w:rsid w:val="00D65CC8"/>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Standardnpsmoodstavce"/>
    <w:link w:val="Nadpis2"/>
    <w:uiPriority w:val="9"/>
    <w:semiHidden/>
    <w:qFormat/>
    <w:rsid w:val="00D65CC8"/>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Standardnpsmoodstavce"/>
    <w:link w:val="Nadpis3"/>
    <w:uiPriority w:val="9"/>
    <w:semiHidden/>
    <w:qFormat/>
    <w:rsid w:val="00D65CC8"/>
    <w:rPr>
      <w:rFonts w:eastAsiaTheme="majorEastAsia" w:cstheme="majorBidi"/>
      <w:color w:val="2E74B5" w:themeColor="accent1" w:themeShade="BF"/>
      <w:sz w:val="28"/>
      <w:szCs w:val="28"/>
    </w:rPr>
  </w:style>
  <w:style w:type="character" w:customStyle="1" w:styleId="Nadpis4Char">
    <w:name w:val="Nadpis 4 Char"/>
    <w:basedOn w:val="Standardnpsmoodstavce"/>
    <w:link w:val="Nadpis4"/>
    <w:uiPriority w:val="9"/>
    <w:semiHidden/>
    <w:qFormat/>
    <w:rsid w:val="00D65CC8"/>
    <w:rPr>
      <w:rFonts w:eastAsiaTheme="majorEastAsia" w:cstheme="majorBidi"/>
      <w:i/>
      <w:iCs/>
      <w:color w:val="2E74B5" w:themeColor="accent1" w:themeShade="BF"/>
    </w:rPr>
  </w:style>
  <w:style w:type="character" w:customStyle="1" w:styleId="Nadpis5Char">
    <w:name w:val="Nadpis 5 Char"/>
    <w:basedOn w:val="Standardnpsmoodstavce"/>
    <w:link w:val="Nadpis5"/>
    <w:uiPriority w:val="9"/>
    <w:semiHidden/>
    <w:qFormat/>
    <w:rsid w:val="00D65CC8"/>
    <w:rPr>
      <w:rFonts w:eastAsiaTheme="majorEastAsia" w:cstheme="majorBidi"/>
      <w:color w:val="2E74B5" w:themeColor="accent1" w:themeShade="BF"/>
    </w:rPr>
  </w:style>
  <w:style w:type="character" w:customStyle="1" w:styleId="Nadpis6Char">
    <w:name w:val="Nadpis 6 Char"/>
    <w:basedOn w:val="Standardnpsmoodstavce"/>
    <w:link w:val="Nadpis6"/>
    <w:uiPriority w:val="9"/>
    <w:semiHidden/>
    <w:qFormat/>
    <w:rsid w:val="00D65CC8"/>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qFormat/>
    <w:rsid w:val="00D65CC8"/>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qFormat/>
    <w:rsid w:val="00D65CC8"/>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qFormat/>
    <w:rsid w:val="00D65CC8"/>
    <w:rPr>
      <w:rFonts w:eastAsiaTheme="majorEastAsia" w:cstheme="majorBidi"/>
      <w:color w:val="272727" w:themeColor="text1" w:themeTint="D8"/>
    </w:rPr>
  </w:style>
  <w:style w:type="paragraph" w:styleId="Nzev">
    <w:name w:val="Title"/>
    <w:basedOn w:val="Normln"/>
    <w:next w:val="Normln"/>
    <w:link w:val="NzevChar"/>
    <w:uiPriority w:val="10"/>
    <w:qFormat/>
    <w:rsid w:val="00D65CC8"/>
    <w:pPr>
      <w:spacing w:after="80"/>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qFormat/>
    <w:rsid w:val="00D65CC8"/>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5CC8"/>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qFormat/>
    <w:rsid w:val="00D65CC8"/>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D65CC8"/>
    <w:pPr>
      <w:spacing w:before="160"/>
      <w:jc w:val="center"/>
    </w:pPr>
    <w:rPr>
      <w:i/>
      <w:iCs/>
      <w:color w:val="404040" w:themeColor="text1" w:themeTint="BF"/>
    </w:rPr>
  </w:style>
  <w:style w:type="character" w:customStyle="1" w:styleId="CittChar">
    <w:name w:val="Citát Char"/>
    <w:basedOn w:val="Standardnpsmoodstavce"/>
    <w:link w:val="Citt"/>
    <w:uiPriority w:val="29"/>
    <w:qFormat/>
    <w:rsid w:val="00D65CC8"/>
    <w:rPr>
      <w:i/>
      <w:iCs/>
      <w:color w:val="404040" w:themeColor="text1" w:themeTint="BF"/>
    </w:rPr>
  </w:style>
  <w:style w:type="paragraph" w:styleId="Odstavecseseznamem">
    <w:name w:val="List Paragraph"/>
    <w:basedOn w:val="Normln"/>
    <w:uiPriority w:val="34"/>
    <w:qFormat/>
    <w:rsid w:val="00D65CC8"/>
    <w:pPr>
      <w:ind w:left="720"/>
      <w:contextualSpacing/>
    </w:pPr>
  </w:style>
  <w:style w:type="character" w:styleId="Zdraznnintenzivn">
    <w:name w:val="Intense Emphasis"/>
    <w:basedOn w:val="Standardnpsmoodstavce"/>
    <w:uiPriority w:val="21"/>
    <w:qFormat/>
    <w:rsid w:val="00D65CC8"/>
    <w:rPr>
      <w:i/>
      <w:iCs/>
      <w:color w:val="2E74B5" w:themeColor="accent1" w:themeShade="BF"/>
    </w:rPr>
  </w:style>
  <w:style w:type="paragraph" w:styleId="Vrazncitt">
    <w:name w:val="Intense Quote"/>
    <w:basedOn w:val="Normln"/>
    <w:next w:val="Normln"/>
    <w:link w:val="VrazncittChar"/>
    <w:uiPriority w:val="30"/>
    <w:qFormat/>
    <w:rsid w:val="00D65CC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qFormat/>
    <w:rsid w:val="00D65CC8"/>
    <w:rPr>
      <w:i/>
      <w:iCs/>
      <w:color w:val="2E74B5" w:themeColor="accent1" w:themeShade="BF"/>
    </w:rPr>
  </w:style>
  <w:style w:type="character" w:styleId="Odkazintenzivn">
    <w:name w:val="Intense Reference"/>
    <w:basedOn w:val="Standardnpsmoodstavce"/>
    <w:uiPriority w:val="32"/>
    <w:qFormat/>
    <w:rsid w:val="00D65CC8"/>
    <w:rPr>
      <w:b/>
      <w:bCs/>
      <w:smallCaps/>
      <w:color w:val="2E74B5" w:themeColor="accent1" w:themeShade="BF"/>
      <w:spacing w:val="5"/>
    </w:rPr>
  </w:style>
  <w:style w:type="character" w:styleId="Hypertextovodkaz">
    <w:name w:val="Hyperlink"/>
    <w:basedOn w:val="Standardnpsmoodstavce"/>
    <w:uiPriority w:val="99"/>
    <w:unhideWhenUsed/>
    <w:rsid w:val="00D65CC8"/>
    <w:rPr>
      <w:color w:val="153B88"/>
      <w:u w:val="single"/>
    </w:rPr>
  </w:style>
  <w:style w:type="character" w:customStyle="1" w:styleId="Odkaznarejstk">
    <w:name w:val="Odkaz na rejstřík"/>
    <w:qFormat/>
    <w:rsid w:val="00D65CC8"/>
  </w:style>
  <w:style w:type="paragraph" w:styleId="Nadpisobsahu">
    <w:name w:val="TOC Heading"/>
    <w:basedOn w:val="Nadpis1"/>
    <w:next w:val="Normln"/>
    <w:uiPriority w:val="39"/>
    <w:unhideWhenUsed/>
    <w:qFormat/>
    <w:rsid w:val="00D65CC8"/>
    <w:pPr>
      <w:spacing w:before="240" w:after="0"/>
      <w:outlineLvl w:val="9"/>
    </w:pPr>
    <w:rPr>
      <w:sz w:val="32"/>
      <w:szCs w:val="32"/>
    </w:rPr>
  </w:style>
  <w:style w:type="paragraph" w:styleId="Obsah1">
    <w:name w:val="toc 1"/>
    <w:basedOn w:val="Normln"/>
    <w:next w:val="Normln"/>
    <w:autoRedefine/>
    <w:uiPriority w:val="39"/>
    <w:unhideWhenUsed/>
    <w:rsid w:val="00D65CC8"/>
    <w:pPr>
      <w:spacing w:after="100" w:line="259" w:lineRule="auto"/>
    </w:pPr>
    <w:rPr>
      <w:rFonts w:asciiTheme="minorHAnsi" w:eastAsiaTheme="minorHAnsi" w:hAnsiTheme="minorHAnsi" w:cstheme="minorBidi"/>
      <w:sz w:val="22"/>
      <w:szCs w:val="22"/>
      <w:lang w:eastAsia="en-US"/>
    </w:rPr>
  </w:style>
  <w:style w:type="paragraph" w:styleId="Zhlav">
    <w:name w:val="header"/>
    <w:basedOn w:val="Normln"/>
    <w:link w:val="ZhlavChar"/>
    <w:uiPriority w:val="99"/>
    <w:unhideWhenUsed/>
    <w:rsid w:val="00D65CC8"/>
    <w:pPr>
      <w:tabs>
        <w:tab w:val="center" w:pos="4536"/>
        <w:tab w:val="right" w:pos="9072"/>
      </w:tabs>
    </w:pPr>
  </w:style>
  <w:style w:type="character" w:customStyle="1" w:styleId="ZhlavChar">
    <w:name w:val="Záhlaví Char"/>
    <w:basedOn w:val="Standardnpsmoodstavce"/>
    <w:link w:val="Zhlav"/>
    <w:uiPriority w:val="99"/>
    <w:qFormat/>
    <w:rsid w:val="00D65CC8"/>
    <w:rPr>
      <w:rFonts w:ascii="Times New Roman" w:eastAsia="Times New Roman" w:hAnsi="Times New Roman" w:cs="Times New Roman"/>
      <w:kern w:val="0"/>
      <w:sz w:val="24"/>
      <w:szCs w:val="24"/>
      <w:lang w:eastAsia="cs-CZ"/>
      <w14:ligatures w14:val="none"/>
    </w:rPr>
  </w:style>
  <w:style w:type="paragraph" w:styleId="Zpat">
    <w:name w:val="footer"/>
    <w:basedOn w:val="Normln"/>
    <w:link w:val="ZpatChar"/>
    <w:uiPriority w:val="99"/>
    <w:unhideWhenUsed/>
    <w:rsid w:val="00D65CC8"/>
    <w:pPr>
      <w:tabs>
        <w:tab w:val="center" w:pos="4536"/>
        <w:tab w:val="right" w:pos="9072"/>
      </w:tabs>
    </w:pPr>
  </w:style>
  <w:style w:type="character" w:customStyle="1" w:styleId="ZpatChar">
    <w:name w:val="Zápatí Char"/>
    <w:basedOn w:val="Standardnpsmoodstavce"/>
    <w:link w:val="Zpat"/>
    <w:uiPriority w:val="99"/>
    <w:qFormat/>
    <w:rsid w:val="00D65CC8"/>
    <w:rPr>
      <w:rFonts w:ascii="Times New Roman" w:eastAsia="Times New Roman" w:hAnsi="Times New Roman" w:cs="Times New Roman"/>
      <w:kern w:val="0"/>
      <w:sz w:val="24"/>
      <w:szCs w:val="24"/>
      <w:lang w:eastAsia="cs-CZ"/>
      <w14:ligatures w14:val="none"/>
    </w:rPr>
  </w:style>
  <w:style w:type="table" w:styleId="Mkatabulky">
    <w:name w:val="Table Grid"/>
    <w:basedOn w:val="Normlntabulka"/>
    <w:uiPriority w:val="39"/>
    <w:rsid w:val="00D65CC8"/>
    <w:pPr>
      <w:suppressAutoHyphens/>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ypropoznmkupodarou">
    <w:name w:val="Znaky pro poznámku pod čarou"/>
    <w:basedOn w:val="Standardnpsmoodstavce"/>
    <w:unhideWhenUsed/>
    <w:qFormat/>
    <w:rsid w:val="00D65CC8"/>
    <w:rPr>
      <w:vertAlign w:val="superscript"/>
    </w:rPr>
  </w:style>
  <w:style w:type="character" w:customStyle="1" w:styleId="Znakapoznpodarou1">
    <w:name w:val="Značka pozn. pod čarou1"/>
    <w:qFormat/>
    <w:rsid w:val="00D65CC8"/>
    <w:rPr>
      <w:vertAlign w:val="superscript"/>
    </w:rPr>
  </w:style>
  <w:style w:type="character" w:customStyle="1" w:styleId="TextpoznpodarouChar">
    <w:name w:val="Text pozn. pod čarou Char"/>
    <w:basedOn w:val="Standardnpsmoodstavce"/>
    <w:link w:val="Textpoznpodarou"/>
    <w:uiPriority w:val="99"/>
    <w:qFormat/>
    <w:rsid w:val="00D65CC8"/>
    <w:rPr>
      <w:rFonts w:ascii="Times New Roman" w:eastAsia="Times New Roman" w:hAnsi="Times New Roman" w:cs="Times New Roman"/>
      <w:sz w:val="20"/>
      <w:szCs w:val="20"/>
      <w:lang w:eastAsia="cs-CZ"/>
    </w:rPr>
  </w:style>
  <w:style w:type="paragraph" w:styleId="Textpoznpodarou">
    <w:name w:val="footnote text"/>
    <w:basedOn w:val="Normln"/>
    <w:link w:val="TextpoznpodarouChar"/>
    <w:uiPriority w:val="99"/>
    <w:unhideWhenUsed/>
    <w:qFormat/>
    <w:rsid w:val="00D65CC8"/>
    <w:rPr>
      <w:kern w:val="2"/>
      <w:sz w:val="20"/>
      <w:szCs w:val="20"/>
      <w14:ligatures w14:val="standardContextual"/>
    </w:rPr>
  </w:style>
  <w:style w:type="character" w:customStyle="1" w:styleId="TextpoznpodarouChar1">
    <w:name w:val="Text pozn. pod čarou Char1"/>
    <w:basedOn w:val="Standardnpsmoodstavce"/>
    <w:uiPriority w:val="99"/>
    <w:semiHidden/>
    <w:qFormat/>
    <w:rsid w:val="00D65CC8"/>
    <w:rPr>
      <w:rFonts w:ascii="Times New Roman" w:eastAsia="Times New Roman" w:hAnsi="Times New Roman" w:cs="Times New Roman"/>
      <w:kern w:val="0"/>
      <w:sz w:val="20"/>
      <w:szCs w:val="20"/>
      <w:lang w:eastAsia="cs-CZ"/>
      <w14:ligatures w14:val="none"/>
    </w:rPr>
  </w:style>
  <w:style w:type="character" w:styleId="Odkaznakoment">
    <w:name w:val="annotation reference"/>
    <w:basedOn w:val="Standardnpsmoodstavce"/>
    <w:uiPriority w:val="99"/>
    <w:semiHidden/>
    <w:unhideWhenUsed/>
    <w:qFormat/>
    <w:rsid w:val="00945EDE"/>
    <w:rPr>
      <w:sz w:val="16"/>
      <w:szCs w:val="16"/>
    </w:rPr>
  </w:style>
  <w:style w:type="paragraph" w:styleId="Textkomente">
    <w:name w:val="annotation text"/>
    <w:basedOn w:val="Normln"/>
    <w:link w:val="TextkomenteChar"/>
    <w:uiPriority w:val="99"/>
    <w:unhideWhenUsed/>
    <w:qFormat/>
    <w:rsid w:val="00945EDE"/>
    <w:rPr>
      <w:sz w:val="20"/>
      <w:szCs w:val="20"/>
    </w:rPr>
  </w:style>
  <w:style w:type="character" w:customStyle="1" w:styleId="TextkomenteChar">
    <w:name w:val="Text komentáře Char"/>
    <w:basedOn w:val="Standardnpsmoodstavce"/>
    <w:link w:val="Textkomente"/>
    <w:uiPriority w:val="99"/>
    <w:qFormat/>
    <w:rsid w:val="00945EDE"/>
    <w:rPr>
      <w:rFonts w:ascii="Times New Roman" w:eastAsia="Times New Roman" w:hAnsi="Times New Roman" w:cs="Times New Roman"/>
      <w:kern w:val="0"/>
      <w:sz w:val="20"/>
      <w:szCs w:val="20"/>
      <w:lang w:eastAsia="cs-CZ"/>
      <w14:ligatures w14:val="none"/>
    </w:rPr>
  </w:style>
  <w:style w:type="paragraph" w:styleId="Pedmtkomente">
    <w:name w:val="annotation subject"/>
    <w:basedOn w:val="Textkomente"/>
    <w:next w:val="Textkomente"/>
    <w:link w:val="PedmtkomenteChar"/>
    <w:uiPriority w:val="99"/>
    <w:semiHidden/>
    <w:unhideWhenUsed/>
    <w:qFormat/>
    <w:rsid w:val="00945EDE"/>
    <w:rPr>
      <w:b/>
      <w:bCs/>
    </w:rPr>
  </w:style>
  <w:style w:type="character" w:customStyle="1" w:styleId="PedmtkomenteChar">
    <w:name w:val="Předmět komentáře Char"/>
    <w:basedOn w:val="TextkomenteChar"/>
    <w:link w:val="Pedmtkomente"/>
    <w:uiPriority w:val="99"/>
    <w:semiHidden/>
    <w:qFormat/>
    <w:rsid w:val="00945EDE"/>
    <w:rPr>
      <w:rFonts w:ascii="Times New Roman" w:eastAsia="Times New Roman" w:hAnsi="Times New Roman" w:cs="Times New Roman"/>
      <w:b/>
      <w:bCs/>
      <w:kern w:val="0"/>
      <w:sz w:val="20"/>
      <w:szCs w:val="20"/>
      <w:lang w:eastAsia="cs-CZ"/>
      <w14:ligatures w14:val="none"/>
    </w:rPr>
  </w:style>
  <w:style w:type="character" w:styleId="Nevyeenzmnka">
    <w:name w:val="Unresolved Mention"/>
    <w:basedOn w:val="Standardnpsmoodstavce"/>
    <w:uiPriority w:val="99"/>
    <w:semiHidden/>
    <w:unhideWhenUsed/>
    <w:qFormat/>
    <w:rsid w:val="00D54B6F"/>
    <w:rPr>
      <w:color w:val="605E5C"/>
      <w:shd w:val="clear" w:color="auto" w:fill="E1DFDD"/>
    </w:rPr>
  </w:style>
  <w:style w:type="character" w:styleId="Znakapoznpodarou">
    <w:name w:val="footnote reference"/>
    <w:rsid w:val="00B8177D"/>
    <w:rPr>
      <w:vertAlign w:val="superscript"/>
    </w:rPr>
  </w:style>
  <w:style w:type="character" w:customStyle="1" w:styleId="Znakypropoznmkupodarouuser">
    <w:name w:val="Znaky pro poznámku pod čarou (user)"/>
    <w:basedOn w:val="Standardnpsmoodstavce"/>
    <w:unhideWhenUsed/>
    <w:qFormat/>
    <w:rsid w:val="00317816"/>
    <w:rPr>
      <w:vertAlign w:val="superscript"/>
    </w:rPr>
  </w:style>
  <w:style w:type="character" w:customStyle="1" w:styleId="Znakyprovysvtlivky">
    <w:name w:val="Znaky pro vysvětlivky"/>
    <w:qFormat/>
    <w:rsid w:val="00317816"/>
    <w:rPr>
      <w:vertAlign w:val="superscript"/>
    </w:rPr>
  </w:style>
  <w:style w:type="character" w:styleId="Odkaznavysvtlivky">
    <w:name w:val="endnote reference"/>
    <w:rsid w:val="00317816"/>
    <w:rPr>
      <w:vertAlign w:val="superscript"/>
    </w:rPr>
  </w:style>
  <w:style w:type="character" w:customStyle="1" w:styleId="Znakyprovysvtlivkyuser">
    <w:name w:val="Znaky pro vysvětlivky (user)"/>
    <w:qFormat/>
    <w:rsid w:val="00317816"/>
  </w:style>
  <w:style w:type="paragraph" w:customStyle="1" w:styleId="Nadpis">
    <w:name w:val="Nadpis"/>
    <w:basedOn w:val="Normln"/>
    <w:next w:val="Zkladntext"/>
    <w:qFormat/>
    <w:rsid w:val="00317816"/>
    <w:pPr>
      <w:keepNext/>
      <w:spacing w:before="240" w:after="120" w:line="259" w:lineRule="auto"/>
    </w:pPr>
    <w:rPr>
      <w:rFonts w:ascii="Liberation Sans" w:eastAsia="Microsoft YaHei" w:hAnsi="Liberation Sans" w:cs="Lucida Sans"/>
      <w:kern w:val="2"/>
      <w:sz w:val="28"/>
      <w:szCs w:val="28"/>
      <w:lang w:eastAsia="en-US"/>
      <w14:ligatures w14:val="standardContextual"/>
    </w:rPr>
  </w:style>
  <w:style w:type="paragraph" w:styleId="Zkladntext">
    <w:name w:val="Body Text"/>
    <w:basedOn w:val="Normln"/>
    <w:link w:val="ZkladntextChar"/>
    <w:rsid w:val="00317816"/>
    <w:pPr>
      <w:spacing w:after="140" w:line="276" w:lineRule="auto"/>
    </w:pPr>
    <w:rPr>
      <w:rFonts w:asciiTheme="minorHAnsi" w:eastAsiaTheme="minorHAnsi" w:hAnsiTheme="minorHAnsi" w:cstheme="minorBidi"/>
      <w:kern w:val="2"/>
      <w:sz w:val="22"/>
      <w:szCs w:val="22"/>
      <w:lang w:eastAsia="en-US"/>
      <w14:ligatures w14:val="standardContextual"/>
    </w:rPr>
  </w:style>
  <w:style w:type="character" w:customStyle="1" w:styleId="ZkladntextChar">
    <w:name w:val="Základní text Char"/>
    <w:basedOn w:val="Standardnpsmoodstavce"/>
    <w:link w:val="Zkladntext"/>
    <w:rsid w:val="00317816"/>
  </w:style>
  <w:style w:type="paragraph" w:styleId="Seznam">
    <w:name w:val="List"/>
    <w:basedOn w:val="Zkladntext"/>
    <w:rsid w:val="00317816"/>
    <w:rPr>
      <w:rFonts w:cs="Arial"/>
    </w:rPr>
  </w:style>
  <w:style w:type="paragraph" w:styleId="Titulek">
    <w:name w:val="caption"/>
    <w:basedOn w:val="Normln"/>
    <w:qFormat/>
    <w:rsid w:val="00317816"/>
    <w:pPr>
      <w:suppressLineNumbers/>
      <w:spacing w:before="120" w:after="120" w:line="259" w:lineRule="auto"/>
    </w:pPr>
    <w:rPr>
      <w:rFonts w:asciiTheme="minorHAnsi" w:eastAsiaTheme="minorHAnsi" w:hAnsiTheme="minorHAnsi" w:cs="Arial"/>
      <w:i/>
      <w:iCs/>
      <w:kern w:val="2"/>
      <w:lang w:eastAsia="en-US"/>
      <w14:ligatures w14:val="standardContextual"/>
    </w:rPr>
  </w:style>
  <w:style w:type="paragraph" w:customStyle="1" w:styleId="Rejstk">
    <w:name w:val="Rejstřík"/>
    <w:basedOn w:val="Normln"/>
    <w:qFormat/>
    <w:rsid w:val="00317816"/>
    <w:pPr>
      <w:suppressLineNumbers/>
      <w:spacing w:after="160" w:line="259" w:lineRule="auto"/>
    </w:pPr>
    <w:rPr>
      <w:rFonts w:asciiTheme="minorHAnsi" w:eastAsiaTheme="minorHAnsi" w:hAnsiTheme="minorHAnsi" w:cs="Lucida Sans"/>
      <w:kern w:val="2"/>
      <w:sz w:val="22"/>
      <w:szCs w:val="22"/>
      <w:lang w:eastAsia="en-US"/>
      <w14:ligatures w14:val="standardContextual"/>
    </w:rPr>
  </w:style>
  <w:style w:type="paragraph" w:customStyle="1" w:styleId="Nadpisuser">
    <w:name w:val="Nadpis (user)"/>
    <w:basedOn w:val="Normln"/>
    <w:next w:val="Zkladntext"/>
    <w:qFormat/>
    <w:rsid w:val="00317816"/>
    <w:pPr>
      <w:keepNext/>
      <w:spacing w:before="240" w:after="120" w:line="259" w:lineRule="auto"/>
    </w:pPr>
    <w:rPr>
      <w:rFonts w:ascii="Liberation Sans" w:eastAsia="Microsoft YaHei" w:hAnsi="Liberation Sans" w:cs="Arial"/>
      <w:kern w:val="2"/>
      <w:sz w:val="28"/>
      <w:szCs w:val="28"/>
      <w:lang w:eastAsia="en-US"/>
      <w14:ligatures w14:val="standardContextual"/>
    </w:rPr>
  </w:style>
  <w:style w:type="paragraph" w:customStyle="1" w:styleId="Rejstkuser">
    <w:name w:val="Rejstřík (user)"/>
    <w:basedOn w:val="Normln"/>
    <w:qFormat/>
    <w:rsid w:val="00317816"/>
    <w:pPr>
      <w:suppressLineNumbers/>
      <w:spacing w:after="160" w:line="259" w:lineRule="auto"/>
    </w:pPr>
    <w:rPr>
      <w:rFonts w:asciiTheme="minorHAnsi" w:eastAsiaTheme="minorHAnsi" w:hAnsiTheme="minorHAnsi" w:cs="Arial"/>
      <w:kern w:val="2"/>
      <w:sz w:val="22"/>
      <w:szCs w:val="22"/>
      <w:lang w:eastAsia="en-US"/>
      <w14:ligatures w14:val="standardContextual"/>
    </w:rPr>
  </w:style>
  <w:style w:type="character" w:customStyle="1" w:styleId="NzevChar1">
    <w:name w:val="Název Char1"/>
    <w:basedOn w:val="Standardnpsmoodstavce"/>
    <w:uiPriority w:val="10"/>
    <w:rsid w:val="00317816"/>
    <w:rPr>
      <w:rFonts w:asciiTheme="majorHAnsi" w:eastAsiaTheme="majorEastAsia" w:hAnsiTheme="majorHAnsi" w:cstheme="majorBidi"/>
      <w:spacing w:val="-10"/>
      <w:kern w:val="28"/>
      <w:sz w:val="56"/>
      <w:szCs w:val="56"/>
    </w:rPr>
  </w:style>
  <w:style w:type="character" w:customStyle="1" w:styleId="PodnadpisChar1">
    <w:name w:val="Podnadpis Char1"/>
    <w:basedOn w:val="Standardnpsmoodstavce"/>
    <w:uiPriority w:val="11"/>
    <w:rsid w:val="00317816"/>
    <w:rPr>
      <w:rFonts w:eastAsiaTheme="majorEastAsia" w:cstheme="majorBidi"/>
      <w:color w:val="595959" w:themeColor="text1" w:themeTint="A6"/>
      <w:spacing w:val="15"/>
      <w:sz w:val="28"/>
      <w:szCs w:val="28"/>
    </w:rPr>
  </w:style>
  <w:style w:type="character" w:customStyle="1" w:styleId="CittChar1">
    <w:name w:val="Citát Char1"/>
    <w:basedOn w:val="Standardnpsmoodstavce"/>
    <w:uiPriority w:val="29"/>
    <w:rsid w:val="00317816"/>
    <w:rPr>
      <w:i/>
      <w:iCs/>
      <w:color w:val="404040" w:themeColor="text1" w:themeTint="BF"/>
    </w:rPr>
  </w:style>
  <w:style w:type="character" w:customStyle="1" w:styleId="VrazncittChar1">
    <w:name w:val="Výrazný citát Char1"/>
    <w:basedOn w:val="Standardnpsmoodstavce"/>
    <w:uiPriority w:val="30"/>
    <w:rsid w:val="00317816"/>
    <w:rPr>
      <w:i/>
      <w:iCs/>
      <w:color w:val="2E74B5" w:themeColor="accent1" w:themeShade="BF"/>
    </w:rPr>
  </w:style>
  <w:style w:type="character" w:customStyle="1" w:styleId="TextpoznpodarouChar2">
    <w:name w:val="Text pozn. pod čarou Char2"/>
    <w:basedOn w:val="Standardnpsmoodstavce"/>
    <w:uiPriority w:val="99"/>
    <w:semiHidden/>
    <w:rsid w:val="00317816"/>
    <w:rPr>
      <w:sz w:val="20"/>
      <w:szCs w:val="20"/>
    </w:rPr>
  </w:style>
  <w:style w:type="paragraph" w:customStyle="1" w:styleId="Default">
    <w:name w:val="Default"/>
    <w:qFormat/>
    <w:rsid w:val="00317816"/>
    <w:pPr>
      <w:suppressAutoHyphens/>
      <w:spacing w:after="0" w:line="240" w:lineRule="auto"/>
    </w:pPr>
    <w:rPr>
      <w:rFonts w:ascii="Calibri" w:eastAsia="Calibri" w:hAnsi="Calibri" w:cs="Calibri"/>
      <w:color w:val="000000"/>
      <w:kern w:val="0"/>
      <w:sz w:val="24"/>
      <w:szCs w:val="24"/>
    </w:rPr>
  </w:style>
  <w:style w:type="character" w:customStyle="1" w:styleId="TextkomenteChar1">
    <w:name w:val="Text komentáře Char1"/>
    <w:basedOn w:val="Standardnpsmoodstavce"/>
    <w:uiPriority w:val="99"/>
    <w:semiHidden/>
    <w:rsid w:val="00317816"/>
    <w:rPr>
      <w:sz w:val="20"/>
      <w:szCs w:val="20"/>
    </w:rPr>
  </w:style>
  <w:style w:type="character" w:customStyle="1" w:styleId="PedmtkomenteChar1">
    <w:name w:val="Předmět komentáře Char1"/>
    <w:basedOn w:val="TextkomenteChar1"/>
    <w:uiPriority w:val="99"/>
    <w:semiHidden/>
    <w:rsid w:val="00317816"/>
    <w:rPr>
      <w:b/>
      <w:bCs/>
      <w:sz w:val="20"/>
      <w:szCs w:val="20"/>
    </w:rPr>
  </w:style>
  <w:style w:type="paragraph" w:customStyle="1" w:styleId="Obsahtabulky">
    <w:name w:val="Obsah tabulky"/>
    <w:basedOn w:val="Normln"/>
    <w:qFormat/>
    <w:rsid w:val="00317816"/>
    <w:pPr>
      <w:widowControl w:val="0"/>
      <w:suppressLineNumbers/>
      <w:spacing w:after="160" w:line="259" w:lineRule="auto"/>
    </w:pPr>
    <w:rPr>
      <w:rFonts w:asciiTheme="minorHAnsi" w:eastAsiaTheme="minorHAnsi" w:hAnsiTheme="minorHAnsi" w:cstheme="minorBidi"/>
      <w:kern w:val="2"/>
      <w:sz w:val="22"/>
      <w:szCs w:val="22"/>
      <w:lang w:eastAsia="en-US"/>
      <w14:ligatures w14:val="standardContextual"/>
    </w:rPr>
  </w:style>
  <w:style w:type="paragraph" w:customStyle="1" w:styleId="Nadpistabulky">
    <w:name w:val="Nadpis tabulky"/>
    <w:basedOn w:val="Obsahtabulky"/>
    <w:qFormat/>
    <w:rsid w:val="00317816"/>
    <w:pPr>
      <w:jc w:val="center"/>
    </w:pPr>
    <w:rPr>
      <w:b/>
      <w:bCs/>
    </w:rPr>
  </w:style>
  <w:style w:type="paragraph" w:styleId="Revize">
    <w:name w:val="Revision"/>
    <w:hidden/>
    <w:uiPriority w:val="99"/>
    <w:semiHidden/>
    <w:rsid w:val="00317816"/>
    <w:pPr>
      <w:spacing w:after="0" w:line="240" w:lineRule="auto"/>
    </w:pPr>
  </w:style>
  <w:style w:type="paragraph" w:customStyle="1" w:styleId="tvar">
    <w:name w:val="Útvar"/>
    <w:basedOn w:val="Normln"/>
    <w:link w:val="tvarChar"/>
    <w:uiPriority w:val="9"/>
    <w:qFormat/>
    <w:rsid w:val="008776CF"/>
    <w:pPr>
      <w:suppressAutoHyphens w:val="0"/>
      <w:spacing w:line="276" w:lineRule="auto"/>
      <w:jc w:val="both"/>
    </w:pPr>
    <w:rPr>
      <w:rFonts w:ascii="Arial" w:eastAsia="Arial" w:hAnsi="Arial" w:cs="Arial"/>
      <w:b/>
      <w:color w:val="161A48"/>
      <w:sz w:val="28"/>
    </w:rPr>
  </w:style>
  <w:style w:type="character" w:customStyle="1" w:styleId="tvarChar">
    <w:name w:val="Útvar Char"/>
    <w:basedOn w:val="Standardnpsmoodstavce"/>
    <w:link w:val="tvar"/>
    <w:uiPriority w:val="9"/>
    <w:rsid w:val="008776CF"/>
    <w:rPr>
      <w:rFonts w:ascii="Arial" w:eastAsia="Arial" w:hAnsi="Arial" w:cs="Arial"/>
      <w:b/>
      <w:color w:val="161A48"/>
      <w:kern w:val="0"/>
      <w:sz w:val="28"/>
      <w:szCs w:val="24"/>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4.safelinks.protection.outlook.com/?url=https%3A%2F%2Fwww.isvavai.cz%2Friv%3Fs%3Djednoduche-vyhledavani%26ss%3Ddetail%26h%3DRIV%252F49777513%253A23520%252F21%253A43962468%2521RIV22-MSM-23520___&amp;data=05%7C02%7CJana.Frantikova%40vlada.gov.cz%7C6f98de8941944a4a902108de389caace%7C29292cca67184b9aa0366a2467c9b190%7C0%7C0%7C639010442705037512%7CUnknown%7CTWFpbGZsb3d8eyJFbXB0eU1hcGkiOnRydWUsIlYiOiIwLjAuMDAwMCIsIlAiOiJXaW4zMiIsIkFOIjoiTWFpbCIsIldUIjoyfQ%3D%3D%7C0%7C%7C%7C&amp;sdata=0as0Eq4k434HuFhwYw3DhW4T3%2B7BrRZSkkMonBX9bfU%3D&amp;reserved=0" TargetMode="External"/><Relationship Id="rId3" Type="http://schemas.openxmlformats.org/officeDocument/2006/relationships/settings" Target="settings.xml"/><Relationship Id="rId7" Type="http://schemas.openxmlformats.org/officeDocument/2006/relationships/hyperlink" Target="https://www.youtube.com/watch?v=_Hi3O_FchS0"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296</Pages>
  <Words>71654</Words>
  <Characters>447124</Characters>
  <Application>Microsoft Office Word</Application>
  <DocSecurity>0</DocSecurity>
  <Lines>8942</Lines>
  <Paragraphs>4287</Paragraphs>
  <ScaleCrop>false</ScaleCrop>
  <HeadingPairs>
    <vt:vector size="2" baseType="variant">
      <vt:variant>
        <vt:lpstr>Název</vt:lpstr>
      </vt:variant>
      <vt:variant>
        <vt:i4>1</vt:i4>
      </vt:variant>
    </vt:vector>
  </HeadingPairs>
  <TitlesOfParts>
    <vt:vector size="1" baseType="lpstr">
      <vt:lpstr/>
    </vt:vector>
  </TitlesOfParts>
  <Company>UVCR</Company>
  <LinksUpToDate>false</LinksUpToDate>
  <CharactersWithSpaces>514491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Frantíková</dc:creator>
  <cp:keywords/>
  <dc:description/>
  <cp:lastModifiedBy>Kateřina Miholová</cp:lastModifiedBy>
  <cp:revision>12</cp:revision>
  <dcterms:created xsi:type="dcterms:W3CDTF">2026-02-13T10:32:00Z</dcterms:created>
  <dcterms:modified xsi:type="dcterms:W3CDTF">2026-02-13T13:29:00Z</dcterms:modified>
</cp:coreProperties>
</file>